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409" w:rsidRPr="001E3CC5" w:rsidRDefault="001E3CC5" w:rsidP="000977F6">
      <w:pPr>
        <w:pStyle w:val="Default"/>
        <w:ind w:firstLine="720"/>
        <w:jc w:val="center"/>
        <w:rPr>
          <w:b/>
          <w:sz w:val="44"/>
        </w:rPr>
      </w:pPr>
      <w:r w:rsidRPr="001E3CC5">
        <w:rPr>
          <w:b/>
          <w:noProof/>
          <w:sz w:val="44"/>
        </w:rPr>
        <w:pict>
          <v:shapetype id="_x0000_t202" coordsize="21600,21600" o:spt="202" path="m,l,21600r21600,l21600,xe">
            <v:stroke joinstyle="miter"/>
            <v:path gradientshapeok="t" o:connecttype="rect"/>
          </v:shapetype>
          <v:shape id="_x0000_s1026" type="#_x0000_t202" style="position:absolute;left:0;text-align:left;margin-left:-12.75pt;margin-top:-41.25pt;width:208.5pt;height:89.25pt;z-index:251671552">
            <v:textbox>
              <w:txbxContent>
                <w:p w:rsidR="001E3CC5" w:rsidRPr="004C1297" w:rsidRDefault="001E3CC5" w:rsidP="001E3CC5">
                  <w:pPr>
                    <w:autoSpaceDE/>
                    <w:autoSpaceDN/>
                    <w:adjustRightInd/>
                    <w:spacing w:line="240" w:lineRule="auto"/>
                    <w:jc w:val="center"/>
                    <w:rPr>
                      <w:rFonts w:ascii="Helvetica" w:eastAsia="Times New Roman" w:hAnsi="Helvetica" w:cs="Times New Roman"/>
                      <w:b/>
                      <w:bCs w:val="0"/>
                      <w:color w:val="000000"/>
                      <w:sz w:val="20"/>
                    </w:rPr>
                  </w:pPr>
                  <w:r w:rsidRPr="004C1297">
                    <w:rPr>
                      <w:rFonts w:ascii="Helvetica" w:eastAsia="Times New Roman" w:hAnsi="Helvetica" w:cs="Times New Roman"/>
                      <w:b/>
                      <w:bCs w:val="0"/>
                      <w:color w:val="000000"/>
                      <w:sz w:val="20"/>
                    </w:rPr>
                    <w:t>Thank you for Visiting</w:t>
                  </w:r>
                </w:p>
                <w:p w:rsidR="001E3CC5" w:rsidRDefault="001E3CC5" w:rsidP="001E3CC5">
                  <w:pPr>
                    <w:autoSpaceDE/>
                    <w:autoSpaceDN/>
                    <w:adjustRightInd/>
                    <w:spacing w:line="240" w:lineRule="auto"/>
                    <w:jc w:val="left"/>
                    <w:rPr>
                      <w:rFonts w:ascii="Helvetica" w:eastAsia="Times New Roman" w:hAnsi="Helvetica" w:cs="Times New Roman"/>
                      <w:bCs w:val="0"/>
                      <w:color w:val="000000"/>
                      <w:sz w:val="18"/>
                    </w:rPr>
                  </w:pPr>
                </w:p>
                <w:p w:rsidR="001E3CC5" w:rsidRPr="004C1297" w:rsidRDefault="001E3CC5" w:rsidP="001E3CC5">
                  <w:pPr>
                    <w:autoSpaceDE/>
                    <w:autoSpaceDN/>
                    <w:adjustRightInd/>
                    <w:spacing w:line="240" w:lineRule="auto"/>
                    <w:jc w:val="left"/>
                    <w:rPr>
                      <w:rFonts w:ascii="Times New Roman" w:eastAsia="Times New Roman" w:hAnsi="Times New Roman" w:cs="Times New Roman"/>
                      <w:bCs w:val="0"/>
                      <w:sz w:val="18"/>
                    </w:rPr>
                  </w:pPr>
                  <w:r w:rsidRPr="004C1297">
                    <w:rPr>
                      <w:rFonts w:ascii="Helvetica" w:eastAsia="Times New Roman" w:hAnsi="Helvetica" w:cs="Times New Roman"/>
                      <w:bCs w:val="0"/>
                      <w:color w:val="000000"/>
                      <w:sz w:val="18"/>
                    </w:rPr>
                    <w:t>If you would like to help update this page, please send comments and/or data (as an e-mail attachment) to Dr. Aynalem Adugna</w:t>
                  </w:r>
                </w:p>
                <w:p w:rsidR="001E3CC5" w:rsidRPr="004C1297" w:rsidRDefault="001E3CC5" w:rsidP="001E3CC5">
                  <w:pPr>
                    <w:autoSpaceDE/>
                    <w:autoSpaceDN/>
                    <w:adjustRightInd/>
                    <w:spacing w:line="240" w:lineRule="auto"/>
                    <w:jc w:val="left"/>
                    <w:rPr>
                      <w:rFonts w:ascii="Times New Roman" w:eastAsia="Times New Roman" w:hAnsi="Times New Roman" w:cs="Times New Roman"/>
                      <w:bCs w:val="0"/>
                    </w:rPr>
                  </w:pPr>
                  <w:r w:rsidRPr="004C1297">
                    <w:rPr>
                      <w:rFonts w:ascii="Helvetica" w:eastAsia="Times New Roman" w:hAnsi="Helvetica" w:cs="Times New Roman"/>
                      <w:bCs w:val="0"/>
                      <w:color w:val="000000"/>
                      <w:sz w:val="22"/>
                    </w:rPr>
                    <w:t xml:space="preserve">at </w:t>
                  </w:r>
                  <w:r w:rsidRPr="004C1297">
                    <w:rPr>
                      <w:rFonts w:ascii="Helvetica" w:eastAsia="Times New Roman" w:hAnsi="Helvetica" w:cs="Times New Roman"/>
                      <w:b/>
                      <w:color w:val="000000"/>
                      <w:sz w:val="18"/>
                      <w:u w:val="single"/>
                    </w:rPr>
                    <w:t>aynalemadugna@aol.com</w:t>
                  </w:r>
                  <w:r w:rsidRPr="004C1297">
                    <w:rPr>
                      <w:rFonts w:ascii="Helvetica" w:eastAsia="Times New Roman" w:hAnsi="Helvetica" w:cs="Times New Roman"/>
                      <w:bCs w:val="0"/>
                      <w:color w:val="000000"/>
                      <w:sz w:val="18"/>
                    </w:rPr>
                    <w:t xml:space="preserve">. Don't </w:t>
                  </w:r>
                  <w:r w:rsidRPr="004C1297">
                    <w:rPr>
                      <w:rFonts w:ascii="Helvetica" w:eastAsia="Times New Roman" w:hAnsi="Helvetica" w:cs="Times New Roman"/>
                      <w:bCs w:val="0"/>
                      <w:color w:val="000000"/>
                      <w:sz w:val="20"/>
                    </w:rPr>
                    <w:t>forget to indicate sources</w:t>
                  </w:r>
                  <w:r w:rsidRPr="004C1297">
                    <w:rPr>
                      <w:rFonts w:ascii="Helvetica" w:eastAsia="Times New Roman" w:hAnsi="Helvetica" w:cs="Times New Roman"/>
                      <w:bCs w:val="0"/>
                      <w:color w:val="000000"/>
                    </w:rPr>
                    <w:t>.</w:t>
                  </w:r>
                </w:p>
                <w:p w:rsidR="001E3CC5" w:rsidRDefault="001E3CC5"/>
              </w:txbxContent>
            </v:textbox>
          </v:shape>
        </w:pict>
      </w:r>
      <w:r w:rsidR="00A64620" w:rsidRPr="001E3CC5">
        <w:rPr>
          <w:b/>
          <w:sz w:val="44"/>
        </w:rPr>
        <w:t>HARARI</w:t>
      </w:r>
    </w:p>
    <w:p w:rsidR="00A64620" w:rsidRDefault="00A64620" w:rsidP="000977F6">
      <w:pPr>
        <w:pStyle w:val="Default"/>
        <w:ind w:firstLine="720"/>
        <w:jc w:val="both"/>
      </w:pPr>
    </w:p>
    <w:p w:rsidR="00A64620" w:rsidRDefault="00A64620" w:rsidP="000977F6">
      <w:pPr>
        <w:pStyle w:val="Default"/>
        <w:jc w:val="both"/>
      </w:pPr>
    </w:p>
    <w:p w:rsidR="00BE349B" w:rsidRDefault="00BE349B" w:rsidP="000977F6">
      <w:pPr>
        <w:pStyle w:val="Default"/>
        <w:jc w:val="both"/>
      </w:pPr>
    </w:p>
    <w:p w:rsidR="00BE349B" w:rsidRDefault="00BE349B" w:rsidP="000977F6">
      <w:pPr>
        <w:pStyle w:val="Default"/>
        <w:jc w:val="both"/>
      </w:pPr>
    </w:p>
    <w:p w:rsidR="003C7D5A" w:rsidRPr="000977F6" w:rsidRDefault="003C7D5A" w:rsidP="000977F6">
      <w:pPr>
        <w:pStyle w:val="Default"/>
        <w:jc w:val="both"/>
      </w:pPr>
      <w:r w:rsidRPr="000977F6">
        <w:t xml:space="preserve">The city of Harar </w:t>
      </w:r>
      <w:r w:rsidR="002B5F73" w:rsidRPr="000977F6">
        <w:t xml:space="preserve">(the second oldest – after Axum) </w:t>
      </w:r>
      <w:r w:rsidRPr="000977F6">
        <w:t xml:space="preserve">derives its name from the </w:t>
      </w:r>
      <w:r w:rsidR="007E03C5" w:rsidRPr="000977F6">
        <w:t xml:space="preserve">much talked-about (and written-about) </w:t>
      </w:r>
      <w:r w:rsidRPr="000977F6">
        <w:t xml:space="preserve">ethnic group </w:t>
      </w:r>
      <w:r w:rsidR="00095640" w:rsidRPr="000977F6">
        <w:t xml:space="preserve">– the </w:t>
      </w:r>
      <w:r w:rsidRPr="000977F6">
        <w:t xml:space="preserve">Harari </w:t>
      </w:r>
      <w:r w:rsidR="00BE349B">
        <w:t xml:space="preserve">(known to other Ethiopians as Adere) </w:t>
      </w:r>
      <w:r w:rsidR="00095640" w:rsidRPr="000977F6">
        <w:t xml:space="preserve">- </w:t>
      </w:r>
      <w:r w:rsidRPr="000977F6">
        <w:t>that onc</w:t>
      </w:r>
      <w:r w:rsidR="00C939C5">
        <w:t>e represented nearly 100% of the</w:t>
      </w:r>
      <w:r w:rsidRPr="000977F6">
        <w:t xml:space="preserve"> population </w:t>
      </w:r>
      <w:r w:rsidR="00C939C5" w:rsidRPr="000977F6">
        <w:t>inside</w:t>
      </w:r>
      <w:r w:rsidR="00C939C5">
        <w:t xml:space="preserve"> its reputed wall </w:t>
      </w:r>
      <w:r w:rsidRPr="000977F6">
        <w:t>but now form less than 1</w:t>
      </w:r>
      <w:r w:rsidR="00BE349B">
        <w:t>5</w:t>
      </w:r>
      <w:r w:rsidR="007E03C5" w:rsidRPr="000977F6">
        <w:t>%</w:t>
      </w:r>
      <w:r w:rsidR="00A6201C" w:rsidRPr="000977F6">
        <w:t xml:space="preserve">, far outnumbered by the </w:t>
      </w:r>
      <w:r w:rsidR="00BE349B">
        <w:t>Amhara and Oromo</w:t>
      </w:r>
      <w:r w:rsidR="007E03C5" w:rsidRPr="000977F6">
        <w:t xml:space="preserve">. </w:t>
      </w:r>
      <w:r w:rsidR="0060124D" w:rsidRPr="000977F6">
        <w:t xml:space="preserve">“In 1856, Sir Richard Burton described the Harari as a bigoted and xenophobic population; a 'distinct race of 8000 souls' speaking a 'peculiar dialect confined within the walls” [1]. </w:t>
      </w:r>
      <w:r w:rsidR="002B5F73" w:rsidRPr="000977F6">
        <w:t xml:space="preserve"> </w:t>
      </w:r>
      <w:r w:rsidR="0060124D" w:rsidRPr="000977F6">
        <w:t xml:space="preserve"> </w:t>
      </w:r>
    </w:p>
    <w:p w:rsidR="003C7D5A" w:rsidRPr="000977F6" w:rsidRDefault="003C7D5A" w:rsidP="000977F6">
      <w:pPr>
        <w:pStyle w:val="Default"/>
        <w:jc w:val="both"/>
      </w:pPr>
    </w:p>
    <w:p w:rsidR="002B5F73" w:rsidRPr="000977F6" w:rsidRDefault="002B5F73" w:rsidP="000977F6">
      <w:pPr>
        <w:pStyle w:val="Default"/>
        <w:jc w:val="both"/>
      </w:pPr>
    </w:p>
    <w:p w:rsidR="002B5F73" w:rsidRPr="000977F6" w:rsidRDefault="002B5F73" w:rsidP="000977F6">
      <w:pPr>
        <w:pStyle w:val="Default"/>
        <w:ind w:left="576" w:right="576"/>
        <w:jc w:val="both"/>
      </w:pPr>
      <w:r w:rsidRPr="000977F6">
        <w:t xml:space="preserve"> “Over a hundred years later, the Harari are described by the anthropologist Sidney Waldron, in much the same terms. He writes that this 'single city culture' of at least 15,000, effectively remains a self governing community aloof from the central administration; 'closed' through a strict preference for endogamy and the exclusion of others from its primary forms of social organization: the family, the friendship group and the community o</w:t>
      </w:r>
      <w:r w:rsidR="00095640" w:rsidRPr="000977F6">
        <w:t xml:space="preserve">bservance association, or afocha…. Waldron introduces us to the Harari in their own terms, as the </w:t>
      </w:r>
      <w:r w:rsidR="00095640" w:rsidRPr="000977F6">
        <w:rPr>
          <w:i/>
          <w:iCs/>
        </w:rPr>
        <w:t xml:space="preserve">Ge usu’ </w:t>
      </w:r>
      <w:r w:rsidR="00095640" w:rsidRPr="000977F6">
        <w:t>or, 'people of the city.'”</w:t>
      </w:r>
    </w:p>
    <w:p w:rsidR="002B5F73" w:rsidRPr="000977F6" w:rsidRDefault="002B5F73" w:rsidP="000977F6">
      <w:pPr>
        <w:pStyle w:val="Default"/>
        <w:jc w:val="both"/>
      </w:pPr>
    </w:p>
    <w:p w:rsidR="002B5F73" w:rsidRDefault="002B5F73" w:rsidP="000977F6">
      <w:pPr>
        <w:pStyle w:val="Default"/>
        <w:jc w:val="both"/>
      </w:pPr>
      <w:r w:rsidRPr="000977F6">
        <w:t>The other name</w:t>
      </w:r>
      <w:r w:rsidR="007F09DF">
        <w:t>s</w:t>
      </w:r>
      <w:r w:rsidRPr="000977F6">
        <w:t xml:space="preserve"> for “ bigoted”, “aloof” and “xenophobic” as we Ethiopians know it today </w:t>
      </w:r>
      <w:r w:rsidR="007F09DF">
        <w:t>are</w:t>
      </w:r>
      <w:r w:rsidRPr="000977F6">
        <w:t>, of course,</w:t>
      </w:r>
      <w:r w:rsidR="0042510A" w:rsidRPr="000977F6">
        <w:t xml:space="preserve"> “proud” “fearless” </w:t>
      </w:r>
      <w:r w:rsidRPr="000977F6">
        <w:t>and “independent”.</w:t>
      </w:r>
    </w:p>
    <w:p w:rsidR="00047253" w:rsidRPr="000977F6" w:rsidRDefault="00047253" w:rsidP="000977F6">
      <w:pPr>
        <w:pStyle w:val="Default"/>
        <w:jc w:val="both"/>
      </w:pPr>
    </w:p>
    <w:p w:rsidR="00A97DC1" w:rsidRDefault="00047253" w:rsidP="000977F6">
      <w:pPr>
        <w:pStyle w:val="Default"/>
        <w:jc w:val="both"/>
      </w:pPr>
      <w:r>
        <w:t xml:space="preserve">The </w:t>
      </w:r>
      <w:r w:rsidR="00A97DC1">
        <w:t xml:space="preserve">main attractions in the </w:t>
      </w:r>
      <w:r>
        <w:t xml:space="preserve">city </w:t>
      </w:r>
      <w:r w:rsidR="00A97DC1">
        <w:t>of Harar include</w:t>
      </w:r>
      <w:r>
        <w:t xml:space="preserve"> the much vaunted w</w:t>
      </w:r>
      <w:r w:rsidR="00337E7D">
        <w:t>all</w:t>
      </w:r>
      <w:r>
        <w:t xml:space="preserve"> built </w:t>
      </w:r>
      <w:r w:rsidR="007F7690">
        <w:t>by Amid Nuir shortly before his death in 1567</w:t>
      </w:r>
      <w:r>
        <w:t xml:space="preserve"> </w:t>
      </w:r>
      <w:r w:rsidR="007F7690">
        <w:t>to keep the Oromo out [3]</w:t>
      </w:r>
      <w:r w:rsidR="00337E7D">
        <w:t>.</w:t>
      </w:r>
    </w:p>
    <w:p w:rsidR="006F357A" w:rsidRDefault="006F357A" w:rsidP="000977F6">
      <w:pPr>
        <w:pStyle w:val="Default"/>
        <w:jc w:val="both"/>
      </w:pPr>
    </w:p>
    <w:p w:rsidR="006F357A" w:rsidRDefault="006F357A" w:rsidP="000977F6">
      <w:pPr>
        <w:pStyle w:val="Default"/>
        <w:jc w:val="both"/>
      </w:pPr>
    </w:p>
    <w:p w:rsidR="006F357A" w:rsidRDefault="00BE349B" w:rsidP="000977F6">
      <w:pPr>
        <w:pStyle w:val="Default"/>
        <w:jc w:val="both"/>
      </w:pPr>
      <w:r w:rsidRPr="006F357A">
        <w:rPr>
          <w:b/>
          <w:sz w:val="28"/>
        </w:rPr>
        <w:t>Satellite</w:t>
      </w:r>
      <w:r w:rsidR="006F357A" w:rsidRPr="006F357A">
        <w:rPr>
          <w:b/>
          <w:sz w:val="28"/>
        </w:rPr>
        <w:t xml:space="preserve"> Map of Harar</w:t>
      </w:r>
      <w:r w:rsidR="006F357A" w:rsidRPr="006F357A">
        <w:rPr>
          <w:sz w:val="28"/>
        </w:rPr>
        <w:t xml:space="preserve"> </w:t>
      </w:r>
      <w:r w:rsidR="006F357A">
        <w:t>(March 3, 2009)</w:t>
      </w:r>
    </w:p>
    <w:p w:rsidR="006F357A" w:rsidRDefault="006F357A" w:rsidP="000977F6">
      <w:pPr>
        <w:pStyle w:val="Default"/>
        <w:jc w:val="both"/>
      </w:pPr>
    </w:p>
    <w:p w:rsidR="00F931AF" w:rsidRDefault="006F357A" w:rsidP="000977F6">
      <w:pPr>
        <w:pStyle w:val="Default"/>
        <w:jc w:val="both"/>
      </w:pPr>
      <w:r>
        <w:rPr>
          <w:noProof/>
        </w:rPr>
        <w:drawing>
          <wp:inline distT="0" distB="0" distL="0" distR="0">
            <wp:extent cx="7953375" cy="6715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3375" cy="6715125"/>
                    </a:xfrm>
                    <a:prstGeom prst="rect">
                      <a:avLst/>
                    </a:prstGeom>
                    <a:noFill/>
                    <a:ln w="9525">
                      <a:noFill/>
                      <a:miter lim="800000"/>
                      <a:headEnd/>
                      <a:tailEnd/>
                    </a:ln>
                  </pic:spPr>
                </pic:pic>
              </a:graphicData>
            </a:graphic>
          </wp:inline>
        </w:drawing>
      </w:r>
    </w:p>
    <w:p w:rsidR="00A97DC1" w:rsidRPr="000977F6" w:rsidRDefault="00A97DC1" w:rsidP="000977F6">
      <w:pPr>
        <w:pStyle w:val="Default"/>
        <w:jc w:val="both"/>
      </w:pPr>
    </w:p>
    <w:p w:rsidR="008C0D7A" w:rsidRPr="00CB4239" w:rsidRDefault="000977F6" w:rsidP="000977F6">
      <w:pPr>
        <w:pStyle w:val="Default"/>
        <w:jc w:val="both"/>
      </w:pPr>
      <w:r w:rsidRPr="000977F6">
        <w:rPr>
          <w:b/>
          <w:sz w:val="32"/>
        </w:rPr>
        <w:t>History:</w:t>
      </w:r>
      <w:r w:rsidRPr="000977F6">
        <w:rPr>
          <w:b/>
        </w:rPr>
        <w:t xml:space="preserve"> </w:t>
      </w:r>
      <w:r w:rsidRPr="00CB4239">
        <w:rPr>
          <w:b/>
          <w:u w:val="single"/>
        </w:rPr>
        <w:t>c</w:t>
      </w:r>
      <w:r w:rsidR="008C0D7A" w:rsidRPr="00CB4239">
        <w:rPr>
          <w:b/>
          <w:u w:val="single"/>
        </w:rPr>
        <w:t>hronology</w:t>
      </w:r>
      <w:r w:rsidR="00F21673" w:rsidRPr="00CB4239">
        <w:rPr>
          <w:b/>
          <w:u w:val="single"/>
        </w:rPr>
        <w:t xml:space="preserve"> </w:t>
      </w:r>
      <w:r w:rsidR="00F21673" w:rsidRPr="00CB4239">
        <w:t>[based on 1</w:t>
      </w:r>
      <w:r w:rsidR="00CB4239" w:rsidRPr="00CB4239">
        <w:t>]</w:t>
      </w:r>
      <w:r w:rsidR="008C0D7A" w:rsidRPr="00CB4239">
        <w:t>:</w:t>
      </w:r>
    </w:p>
    <w:p w:rsidR="008C0D7A" w:rsidRPr="000977F6" w:rsidRDefault="008C0D7A" w:rsidP="000977F6">
      <w:pPr>
        <w:pStyle w:val="Default"/>
        <w:jc w:val="both"/>
      </w:pPr>
    </w:p>
    <w:p w:rsidR="008C0D7A" w:rsidRPr="000977F6" w:rsidRDefault="008C0D7A" w:rsidP="000977F6">
      <w:pPr>
        <w:pStyle w:val="Default"/>
        <w:jc w:val="both"/>
      </w:pPr>
    </w:p>
    <w:p w:rsidR="002B5F73" w:rsidRPr="000977F6" w:rsidRDefault="002B5F73" w:rsidP="000977F6">
      <w:pPr>
        <w:pStyle w:val="Default"/>
        <w:jc w:val="both"/>
      </w:pPr>
    </w:p>
    <w:p w:rsidR="002B5F73" w:rsidRPr="000977F6" w:rsidRDefault="00F21673" w:rsidP="000977F6">
      <w:pPr>
        <w:pStyle w:val="Default"/>
        <w:jc w:val="both"/>
      </w:pPr>
      <w:r w:rsidRPr="000977F6">
        <w:t xml:space="preserve">Much of the history of Harar before its incorporation in 1887 is </w:t>
      </w:r>
      <w:r w:rsidR="00431764" w:rsidRPr="000977F6">
        <w:t>predominantly about the</w:t>
      </w:r>
      <w:r w:rsidRPr="000977F6">
        <w:t xml:space="preserve"> conflict between the </w:t>
      </w:r>
      <w:r w:rsidRPr="000977F6">
        <w:rPr>
          <w:i/>
          <w:iCs/>
        </w:rPr>
        <w:t xml:space="preserve">Ge usu’ </w:t>
      </w:r>
      <w:r w:rsidRPr="000977F6">
        <w:t xml:space="preserve">and external forces </w:t>
      </w:r>
      <w:r w:rsidR="00431764" w:rsidRPr="000977F6">
        <w:t>“….</w:t>
      </w:r>
      <w:r w:rsidRPr="000977F6">
        <w:t>as they struggled to maintain their autonomy from the Christian state and dominate the local political economy</w:t>
      </w:r>
      <w:r w:rsidR="00431764" w:rsidRPr="000977F6">
        <w:t>”</w:t>
      </w:r>
      <w:r w:rsidRPr="000977F6">
        <w:t>.</w:t>
      </w:r>
    </w:p>
    <w:p w:rsidR="00431764" w:rsidRPr="000977F6" w:rsidRDefault="00431764" w:rsidP="000977F6">
      <w:pPr>
        <w:pStyle w:val="Default"/>
        <w:jc w:val="both"/>
      </w:pPr>
    </w:p>
    <w:p w:rsidR="00431764" w:rsidRPr="000977F6" w:rsidRDefault="00B93254" w:rsidP="000977F6">
      <w:pPr>
        <w:pStyle w:val="Default"/>
        <w:jc w:val="both"/>
      </w:pPr>
      <w:r w:rsidRPr="000977F6">
        <w:t xml:space="preserve">“From its foundation in the 9th century, the city developed into a seat of Islamic scholarship and authority, from where missionaries actively campaigned for the conversion of the surrounding Oromo populations and waged episodic jihads against the expanding Christian Empire.”  The most famous of these wars was the vicious campaign of forced conversion led by Imam Ahmed al Ghazi, or </w:t>
      </w:r>
      <w:r w:rsidRPr="000977F6">
        <w:lastRenderedPageBreak/>
        <w:t xml:space="preserve">Gragn as he is known, from 1529 to 1543 with Harar as the command post. This was </w:t>
      </w:r>
      <w:r w:rsidR="00A95AFB" w:rsidRPr="000977F6">
        <w:t xml:space="preserve">a </w:t>
      </w:r>
      <w:r w:rsidRPr="000977F6">
        <w:t>campaign that  “…..threatened the very survival of the Christian state in north east….”</w:t>
      </w:r>
      <w:r w:rsidR="00C32DB6" w:rsidRPr="000977F6">
        <w:t xml:space="preserve"> </w:t>
      </w:r>
      <w:r w:rsidRPr="000977F6">
        <w:t>.</w:t>
      </w:r>
    </w:p>
    <w:p w:rsidR="00A95AFB" w:rsidRPr="000977F6" w:rsidRDefault="00A95AFB" w:rsidP="000977F6">
      <w:pPr>
        <w:pStyle w:val="Default"/>
        <w:jc w:val="both"/>
      </w:pPr>
    </w:p>
    <w:p w:rsidR="00A95AFB" w:rsidRPr="000977F6" w:rsidRDefault="00A95AFB" w:rsidP="000977F6">
      <w:pPr>
        <w:pStyle w:val="Default"/>
        <w:jc w:val="both"/>
      </w:pPr>
    </w:p>
    <w:p w:rsidR="00F21673" w:rsidRPr="000977F6" w:rsidRDefault="00C32DB6" w:rsidP="000977F6">
      <w:pPr>
        <w:pStyle w:val="Default"/>
        <w:jc w:val="both"/>
      </w:pPr>
      <w:r w:rsidRPr="000977F6">
        <w:t>Due to</w:t>
      </w:r>
      <w:r w:rsidR="00A95AFB" w:rsidRPr="000977F6">
        <w:t xml:space="preserve"> its advantageous </w:t>
      </w:r>
      <w:r w:rsidR="002C263A" w:rsidRPr="000977F6">
        <w:t xml:space="preserve">geographical location </w:t>
      </w:r>
      <w:r w:rsidR="00A95AFB" w:rsidRPr="000977F6">
        <w:t xml:space="preserve">and political importance </w:t>
      </w:r>
      <w:r w:rsidR="002C263A" w:rsidRPr="000977F6">
        <w:t>“….</w:t>
      </w:r>
      <w:r w:rsidR="00A95AFB" w:rsidRPr="000977F6">
        <w:t>as a long-standing city-state with established connections to both the interior and the coast, Harar developed into a thriving commercial centre under the independent dynasty established in 1647</w:t>
      </w:r>
      <w:r w:rsidR="002C263A" w:rsidRPr="000977F6">
        <w:t>”</w:t>
      </w:r>
      <w:r w:rsidR="00A95AFB" w:rsidRPr="000977F6">
        <w:t xml:space="preserve"> </w:t>
      </w:r>
      <w:r w:rsidR="002C263A" w:rsidRPr="000977F6">
        <w:t xml:space="preserve"> </w:t>
      </w:r>
    </w:p>
    <w:p w:rsidR="002C263A" w:rsidRPr="000977F6" w:rsidRDefault="002C263A" w:rsidP="000977F6">
      <w:pPr>
        <w:pStyle w:val="Default"/>
        <w:jc w:val="both"/>
      </w:pPr>
    </w:p>
    <w:p w:rsidR="002C263A" w:rsidRPr="000977F6" w:rsidRDefault="003C6FB9" w:rsidP="000977F6">
      <w:pPr>
        <w:pStyle w:val="Default"/>
        <w:jc w:val="both"/>
      </w:pPr>
      <w:r w:rsidRPr="000977F6">
        <w:t>“From the 16th century on, however, Harar was in a precarious position struggling to maintain control over lucrative trade routes while involved in ongoing conflict with warring Oromo groups …..Internal hostilities arose as the Amirate necessarily formed alliances with Oromo, weakening the political integrity of the state. When the Egyptian army seized Zeila and Berbera, the ports upon which Harari trade was dependent, Amir Mohammed abandoned efforts to resist foreign occupation and the Egyptians seized the city in October 1875”.</w:t>
      </w:r>
    </w:p>
    <w:p w:rsidR="003C6FB9" w:rsidRPr="000977F6" w:rsidRDefault="003C6FB9" w:rsidP="000977F6">
      <w:pPr>
        <w:pStyle w:val="Default"/>
        <w:jc w:val="both"/>
      </w:pPr>
    </w:p>
    <w:p w:rsidR="003C6FB9" w:rsidRPr="000977F6" w:rsidRDefault="003C6FB9" w:rsidP="000977F6">
      <w:pPr>
        <w:pStyle w:val="Default"/>
        <w:jc w:val="both"/>
      </w:pPr>
      <w:r w:rsidRPr="000977F6">
        <w:t xml:space="preserve">“While the Amirate was briefly resurrected by the British following the Egyptian evacuation in 1885, the state had been so weakened that Menelik seized upon the opportunity to annex the regional sub centre …. At Che1enko"Mene1ik's 20,000 troops easily defeated the 3-4,000 foot soldiers rallied together by the Amir….. The Muslim city was thus incorporated into the Christian Empire in January of 1887 and Menelik employed his cousin, Balambaras (later to become Ras) Makonnen Walda-Mikael as governor of the new Ethiopian province….. Thereafter, the </w:t>
      </w:r>
      <w:r w:rsidRPr="000977F6">
        <w:rPr>
          <w:i/>
          <w:iCs/>
        </w:rPr>
        <w:t xml:space="preserve">Ge usu’ </w:t>
      </w:r>
      <w:r w:rsidRPr="000977F6">
        <w:t>were effectively stripped of any sense of power beyond the tokenism of limited places in public office ….”.</w:t>
      </w:r>
    </w:p>
    <w:p w:rsidR="00CF62EC" w:rsidRPr="000977F6" w:rsidRDefault="00CF62EC" w:rsidP="000977F6">
      <w:pPr>
        <w:pStyle w:val="Default"/>
        <w:jc w:val="both"/>
      </w:pPr>
    </w:p>
    <w:p w:rsidR="00CF6F7C" w:rsidRPr="000977F6" w:rsidRDefault="00CF6F7C" w:rsidP="000977F6">
      <w:pPr>
        <w:pStyle w:val="Default"/>
        <w:jc w:val="both"/>
      </w:pPr>
    </w:p>
    <w:p w:rsidR="00CF6F7C" w:rsidRPr="000977F6" w:rsidRDefault="00EA0313" w:rsidP="000977F6">
      <w:pPr>
        <w:pStyle w:val="Default"/>
        <w:jc w:val="both"/>
        <w:rPr>
          <w:b/>
        </w:rPr>
      </w:pPr>
      <w:r w:rsidRPr="000977F6">
        <w:rPr>
          <w:b/>
        </w:rPr>
        <w:t xml:space="preserve">Population </w:t>
      </w:r>
    </w:p>
    <w:p w:rsidR="00EA0313" w:rsidRPr="000977F6" w:rsidRDefault="00EA0313" w:rsidP="000977F6">
      <w:pPr>
        <w:pStyle w:val="Default"/>
        <w:jc w:val="both"/>
        <w:rPr>
          <w:b/>
        </w:rPr>
      </w:pPr>
    </w:p>
    <w:p w:rsidR="00EA0313" w:rsidRPr="000977F6" w:rsidRDefault="00EA0313" w:rsidP="000977F6">
      <w:pPr>
        <w:pStyle w:val="Default"/>
        <w:jc w:val="both"/>
      </w:pPr>
      <w:r w:rsidRPr="000977F6">
        <w:t xml:space="preserve">The population size of Harari </w:t>
      </w:r>
      <w:r w:rsidR="00A23789" w:rsidRPr="000977F6">
        <w:t>grew</w:t>
      </w:r>
      <w:r w:rsidRPr="000977F6">
        <w:t xml:space="preserve"> nearly 300% </w:t>
      </w:r>
      <w:r w:rsidR="002D6E20">
        <w:t>(see Fig. 1)</w:t>
      </w:r>
      <w:r w:rsidR="009952B6">
        <w:t xml:space="preserve"> </w:t>
      </w:r>
      <w:r w:rsidRPr="000977F6">
        <w:t xml:space="preserve">between the </w:t>
      </w:r>
      <w:r w:rsidR="009952B6">
        <w:t>first census (</w:t>
      </w:r>
      <w:r w:rsidR="00A23789" w:rsidRPr="000977F6">
        <w:t>19</w:t>
      </w:r>
      <w:r w:rsidR="00195827" w:rsidRPr="000977F6">
        <w:t>8</w:t>
      </w:r>
      <w:r w:rsidR="00A23789" w:rsidRPr="000977F6">
        <w:t>4</w:t>
      </w:r>
      <w:r w:rsidR="009952B6">
        <w:t>)</w:t>
      </w:r>
      <w:r w:rsidR="0021142A" w:rsidRPr="000977F6">
        <w:t xml:space="preserve"> and the last</w:t>
      </w:r>
      <w:r w:rsidR="009952B6">
        <w:t xml:space="preserve"> (2007)</w:t>
      </w:r>
      <w:r w:rsidR="0021142A" w:rsidRPr="000977F6">
        <w:t>,</w:t>
      </w:r>
      <w:r w:rsidR="00303D9E" w:rsidRPr="000977F6">
        <w:t xml:space="preserve"> partly </w:t>
      </w:r>
      <w:r w:rsidR="0021142A" w:rsidRPr="000977F6">
        <w:t>due to</w:t>
      </w:r>
      <w:r w:rsidR="00303D9E" w:rsidRPr="000977F6">
        <w:t xml:space="preserve"> changes in political boundaries and definitions</w:t>
      </w:r>
      <w:r w:rsidR="00A23789" w:rsidRPr="000977F6">
        <w:t xml:space="preserve">. </w:t>
      </w:r>
      <w:r w:rsidR="00303D9E" w:rsidRPr="000977F6">
        <w:t xml:space="preserve">The 2007 definition </w:t>
      </w:r>
      <w:r w:rsidR="009952B6">
        <w:t xml:space="preserve">[5] </w:t>
      </w:r>
      <w:r w:rsidR="0021142A" w:rsidRPr="000977F6">
        <w:t>divides the region into two as rural Harari</w:t>
      </w:r>
      <w:r w:rsidR="001A4907">
        <w:t xml:space="preserve"> (population, 84</w:t>
      </w:r>
      <w:r w:rsidR="0021142A" w:rsidRPr="000977F6">
        <w:t>047) and urban Harari (population</w:t>
      </w:r>
      <w:r w:rsidR="001A4907">
        <w:t>, 99</w:t>
      </w:r>
      <w:r w:rsidR="0021142A" w:rsidRPr="000977F6">
        <w:t>368)</w:t>
      </w:r>
      <w:r w:rsidR="00BE349B">
        <w:t xml:space="preserve"> for a total of 183,344 people</w:t>
      </w:r>
      <w:r w:rsidR="001A4907">
        <w:t xml:space="preserve">. </w:t>
      </w:r>
      <w:r w:rsidR="00BE349B">
        <w:t xml:space="preserve">Censuses notoriously under represent population numbers especially where accessibility is a problem. An assumption of </w:t>
      </w:r>
      <w:r w:rsidR="00D919EA">
        <w:t xml:space="preserve">even </w:t>
      </w:r>
      <w:r w:rsidR="00BE349B">
        <w:t xml:space="preserve">a </w:t>
      </w:r>
      <w:r w:rsidR="00D919EA">
        <w:t>5</w:t>
      </w:r>
      <w:r w:rsidR="00BE349B">
        <w:t>% under-count in Harari</w:t>
      </w:r>
      <w:r w:rsidR="00D919EA">
        <w:t xml:space="preserve">, which is not unusual by African standards, </w:t>
      </w:r>
      <w:r w:rsidR="00BE349B">
        <w:t xml:space="preserve"> would suggest that over </w:t>
      </w:r>
      <w:r w:rsidR="00D919EA">
        <w:t>9</w:t>
      </w:r>
      <w:r w:rsidR="00BE349B">
        <w:t xml:space="preserve">,000 </w:t>
      </w:r>
      <w:r w:rsidR="00D919EA">
        <w:t xml:space="preserve">people </w:t>
      </w:r>
      <w:r w:rsidR="00BE349B">
        <w:t xml:space="preserve">were missed during the 2007 count but we have no way of confirming </w:t>
      </w:r>
      <w:r w:rsidR="00D919EA">
        <w:t>it</w:t>
      </w:r>
      <w:r w:rsidR="00BE349B">
        <w:t xml:space="preserve">. </w:t>
      </w:r>
      <w:r w:rsidR="00631249">
        <w:t xml:space="preserve">Islam is the predominant religion </w:t>
      </w:r>
      <w:r w:rsidR="00BE349B">
        <w:t xml:space="preserve">with 69% of the population </w:t>
      </w:r>
      <w:r w:rsidR="00D919EA">
        <w:t xml:space="preserve">reporting themselves </w:t>
      </w:r>
      <w:r w:rsidR="00BE349B">
        <w:t xml:space="preserve">as </w:t>
      </w:r>
      <w:r w:rsidR="00D919EA">
        <w:t>adherents of the religion</w:t>
      </w:r>
      <w:r w:rsidR="00BE349B">
        <w:t xml:space="preserve">, </w:t>
      </w:r>
      <w:r w:rsidR="00631249">
        <w:t>followed by Orthodox Christianity (27%)</w:t>
      </w:r>
      <w:r w:rsidR="00BE349B">
        <w:t xml:space="preserve"> [5]</w:t>
      </w:r>
      <w:r w:rsidR="00631249">
        <w:t>.</w:t>
      </w:r>
    </w:p>
    <w:p w:rsidR="0021142A" w:rsidRDefault="0021142A" w:rsidP="0021142A">
      <w:pPr>
        <w:pStyle w:val="Default"/>
        <w:jc w:val="both"/>
      </w:pPr>
    </w:p>
    <w:p w:rsidR="0021142A" w:rsidRPr="00EA0313" w:rsidRDefault="0021142A" w:rsidP="0021142A">
      <w:pPr>
        <w:pStyle w:val="Default"/>
        <w:jc w:val="both"/>
      </w:pPr>
    </w:p>
    <w:p w:rsidR="00EA0313" w:rsidRPr="00EA0313" w:rsidRDefault="00EA0313" w:rsidP="002B5F73">
      <w:pPr>
        <w:pStyle w:val="Default"/>
        <w:rPr>
          <w:b/>
          <w:sz w:val="22"/>
          <w:szCs w:val="22"/>
        </w:rPr>
      </w:pPr>
    </w:p>
    <w:p w:rsidR="00F21673" w:rsidRDefault="00EA0313" w:rsidP="002B5F73">
      <w:pPr>
        <w:pStyle w:val="Default"/>
        <w:rPr>
          <w:sz w:val="22"/>
          <w:szCs w:val="22"/>
        </w:rPr>
      </w:pPr>
      <w:r w:rsidRPr="00EA0313">
        <w:rPr>
          <w:noProof/>
          <w:sz w:val="22"/>
          <w:szCs w:val="22"/>
        </w:rPr>
        <w:drawing>
          <wp:inline distT="0" distB="0" distL="0" distR="0">
            <wp:extent cx="8096250" cy="41910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21673" w:rsidRDefault="00A23789" w:rsidP="002B5F73">
      <w:pPr>
        <w:pStyle w:val="Default"/>
        <w:rPr>
          <w:sz w:val="22"/>
          <w:szCs w:val="22"/>
        </w:rPr>
      </w:pPr>
      <w:r>
        <w:rPr>
          <w:sz w:val="22"/>
          <w:szCs w:val="22"/>
        </w:rPr>
        <w:t>Source: Based on [3]</w:t>
      </w:r>
    </w:p>
    <w:p w:rsidR="0021142A" w:rsidRDefault="0021142A" w:rsidP="002B5F73">
      <w:pPr>
        <w:pStyle w:val="Default"/>
        <w:rPr>
          <w:sz w:val="22"/>
          <w:szCs w:val="22"/>
        </w:rPr>
      </w:pPr>
    </w:p>
    <w:p w:rsidR="004F6F9F" w:rsidRDefault="004F6F9F" w:rsidP="002B5F73">
      <w:pPr>
        <w:pStyle w:val="Default"/>
        <w:rPr>
          <w:sz w:val="22"/>
          <w:szCs w:val="22"/>
        </w:rPr>
      </w:pPr>
    </w:p>
    <w:p w:rsidR="004F6F9F" w:rsidRDefault="004F6F9F" w:rsidP="002B5F73">
      <w:pPr>
        <w:pStyle w:val="Default"/>
        <w:rPr>
          <w:sz w:val="22"/>
          <w:szCs w:val="22"/>
        </w:rPr>
      </w:pPr>
    </w:p>
    <w:p w:rsidR="004F6F9F" w:rsidRDefault="004F6F9F" w:rsidP="002B5F73">
      <w:pPr>
        <w:pStyle w:val="Default"/>
        <w:rPr>
          <w:sz w:val="22"/>
          <w:szCs w:val="22"/>
        </w:rPr>
      </w:pPr>
    </w:p>
    <w:p w:rsidR="0021142A" w:rsidRDefault="0021142A" w:rsidP="002B5F73">
      <w:pPr>
        <w:pStyle w:val="Default"/>
        <w:rPr>
          <w:b/>
          <w:szCs w:val="22"/>
        </w:rPr>
      </w:pPr>
      <w:r w:rsidRPr="0021142A">
        <w:rPr>
          <w:b/>
          <w:szCs w:val="22"/>
        </w:rPr>
        <w:t>Age Structure:</w:t>
      </w:r>
    </w:p>
    <w:p w:rsidR="00665417" w:rsidRDefault="00665417" w:rsidP="002B5F73">
      <w:pPr>
        <w:pStyle w:val="Default"/>
        <w:rPr>
          <w:b/>
          <w:szCs w:val="22"/>
        </w:rPr>
      </w:pPr>
    </w:p>
    <w:p w:rsidR="006F3862" w:rsidRDefault="006F3862" w:rsidP="002B5F73">
      <w:pPr>
        <w:pStyle w:val="Default"/>
        <w:rPr>
          <w:b/>
          <w:szCs w:val="22"/>
        </w:rPr>
      </w:pPr>
    </w:p>
    <w:p w:rsidR="006F3862" w:rsidRDefault="006F3862" w:rsidP="00923405">
      <w:pPr>
        <w:pStyle w:val="Default"/>
        <w:jc w:val="both"/>
        <w:rPr>
          <w:szCs w:val="22"/>
        </w:rPr>
      </w:pPr>
      <w:r w:rsidRPr="006F3862">
        <w:rPr>
          <w:szCs w:val="22"/>
        </w:rPr>
        <w:t xml:space="preserve">Figure </w:t>
      </w:r>
      <w:r>
        <w:rPr>
          <w:szCs w:val="22"/>
        </w:rPr>
        <w:t>2 allows comparison of the rural and urban population distribution</w:t>
      </w:r>
      <w:r w:rsidR="005B63EA">
        <w:rPr>
          <w:szCs w:val="22"/>
        </w:rPr>
        <w:t>s</w:t>
      </w:r>
      <w:r>
        <w:rPr>
          <w:szCs w:val="22"/>
        </w:rPr>
        <w:t xml:space="preserve"> by age. The age distribution pattern</w:t>
      </w:r>
      <w:r w:rsidR="005B63EA">
        <w:rPr>
          <w:szCs w:val="22"/>
        </w:rPr>
        <w:t>s</w:t>
      </w:r>
      <w:r>
        <w:rPr>
          <w:szCs w:val="22"/>
        </w:rPr>
        <w:t xml:space="preserve"> (as measured by the percentage</w:t>
      </w:r>
      <w:r w:rsidR="005B63EA">
        <w:rPr>
          <w:szCs w:val="22"/>
        </w:rPr>
        <w:t>s</w:t>
      </w:r>
      <w:r>
        <w:rPr>
          <w:szCs w:val="22"/>
        </w:rPr>
        <w:t xml:space="preserve"> of people in various age groups) for urban and rural Harari is so very different</w:t>
      </w:r>
      <w:r w:rsidR="001C12E3">
        <w:rPr>
          <w:szCs w:val="22"/>
        </w:rPr>
        <w:t>,</w:t>
      </w:r>
      <w:r>
        <w:rPr>
          <w:szCs w:val="22"/>
        </w:rPr>
        <w:t xml:space="preserve"> one </w:t>
      </w:r>
      <w:r w:rsidR="005B63EA">
        <w:rPr>
          <w:szCs w:val="22"/>
        </w:rPr>
        <w:t>might</w:t>
      </w:r>
      <w:r>
        <w:rPr>
          <w:szCs w:val="22"/>
        </w:rPr>
        <w:t xml:space="preserve"> think of them as belonging to different populations. </w:t>
      </w:r>
      <w:r w:rsidR="00FD3337">
        <w:rPr>
          <w:szCs w:val="22"/>
        </w:rPr>
        <w:t>However, since urban pop</w:t>
      </w:r>
      <w:r w:rsidR="001C12E3">
        <w:rPr>
          <w:szCs w:val="22"/>
        </w:rPr>
        <w:t xml:space="preserve">ulations are demographically </w:t>
      </w:r>
      <w:r w:rsidR="00FD3337">
        <w:rPr>
          <w:szCs w:val="22"/>
        </w:rPr>
        <w:t>different from rural population</w:t>
      </w:r>
      <w:r w:rsidR="003A1819">
        <w:rPr>
          <w:szCs w:val="22"/>
        </w:rPr>
        <w:t>s</w:t>
      </w:r>
      <w:r w:rsidR="00FD3337">
        <w:rPr>
          <w:szCs w:val="22"/>
        </w:rPr>
        <w:t xml:space="preserve"> in terms of mortality experiences as well as fertility and in</w:t>
      </w:r>
      <w:r w:rsidR="00C639EC">
        <w:rPr>
          <w:szCs w:val="22"/>
        </w:rPr>
        <w:t>/out</w:t>
      </w:r>
      <w:r w:rsidR="00FD3337">
        <w:rPr>
          <w:szCs w:val="22"/>
        </w:rPr>
        <w:t xml:space="preserve">-migration </w:t>
      </w:r>
      <w:r w:rsidR="00C639EC">
        <w:rPr>
          <w:szCs w:val="22"/>
        </w:rPr>
        <w:t xml:space="preserve">patterns, the summary provided by Fig.2 can be accepted as </w:t>
      </w:r>
      <w:r w:rsidR="001C12E3">
        <w:rPr>
          <w:szCs w:val="22"/>
        </w:rPr>
        <w:t xml:space="preserve">a </w:t>
      </w:r>
      <w:r w:rsidR="00EA0BA9">
        <w:rPr>
          <w:szCs w:val="22"/>
        </w:rPr>
        <w:t xml:space="preserve">result of </w:t>
      </w:r>
      <w:r w:rsidR="00C639EC">
        <w:rPr>
          <w:szCs w:val="22"/>
        </w:rPr>
        <w:t>real difference</w:t>
      </w:r>
      <w:r w:rsidR="00EA0BA9">
        <w:rPr>
          <w:szCs w:val="22"/>
        </w:rPr>
        <w:t>s</w:t>
      </w:r>
      <w:r w:rsidR="00C639EC">
        <w:rPr>
          <w:szCs w:val="22"/>
        </w:rPr>
        <w:t xml:space="preserve"> (rather than an artifact of data error)</w:t>
      </w:r>
      <w:r w:rsidR="00FD3337">
        <w:rPr>
          <w:szCs w:val="22"/>
        </w:rPr>
        <w:t>.</w:t>
      </w:r>
      <w:r w:rsidR="001C12E3">
        <w:rPr>
          <w:szCs w:val="22"/>
        </w:rPr>
        <w:t xml:space="preserve"> </w:t>
      </w:r>
      <w:r w:rsidR="00AB15A6">
        <w:rPr>
          <w:szCs w:val="22"/>
        </w:rPr>
        <w:t xml:space="preserve">Just over a fifth of urban males (21.2%) are younger than 20. Nearly a third (30.1%) of rural males are </w:t>
      </w:r>
      <w:r w:rsidR="00FA3F33">
        <w:rPr>
          <w:szCs w:val="22"/>
        </w:rPr>
        <w:t xml:space="preserve">in this </w:t>
      </w:r>
      <w:r w:rsidR="00CC465B">
        <w:rPr>
          <w:szCs w:val="22"/>
        </w:rPr>
        <w:t xml:space="preserve">age </w:t>
      </w:r>
      <w:r w:rsidR="00FA3F33">
        <w:rPr>
          <w:szCs w:val="22"/>
        </w:rPr>
        <w:t xml:space="preserve">group. The corresponding proportions for females are </w:t>
      </w:r>
      <w:r w:rsidR="00746AC6">
        <w:rPr>
          <w:szCs w:val="22"/>
        </w:rPr>
        <w:t>20.4</w:t>
      </w:r>
      <w:r w:rsidR="00FA3F33">
        <w:rPr>
          <w:szCs w:val="22"/>
        </w:rPr>
        <w:t xml:space="preserve">% and </w:t>
      </w:r>
      <w:r w:rsidR="009D7A9F">
        <w:rPr>
          <w:szCs w:val="22"/>
        </w:rPr>
        <w:t>28.5</w:t>
      </w:r>
      <w:r w:rsidR="00FA3F33">
        <w:rPr>
          <w:szCs w:val="22"/>
        </w:rPr>
        <w:t xml:space="preserve">% respectively. </w:t>
      </w:r>
    </w:p>
    <w:p w:rsidR="00AB15A6" w:rsidRPr="006F3862" w:rsidRDefault="00AB15A6" w:rsidP="002B5F73">
      <w:pPr>
        <w:pStyle w:val="Default"/>
        <w:rPr>
          <w:szCs w:val="22"/>
        </w:rPr>
      </w:pPr>
    </w:p>
    <w:p w:rsidR="00665417" w:rsidRDefault="00665417" w:rsidP="002B5F73">
      <w:pPr>
        <w:pStyle w:val="Default"/>
        <w:rPr>
          <w:b/>
          <w:szCs w:val="22"/>
        </w:rPr>
      </w:pPr>
    </w:p>
    <w:p w:rsidR="00665417" w:rsidRDefault="009C6722" w:rsidP="002B5F73">
      <w:pPr>
        <w:pStyle w:val="Default"/>
        <w:rPr>
          <w:b/>
          <w:szCs w:val="22"/>
        </w:rPr>
      </w:pPr>
      <w:r w:rsidRPr="009C6722">
        <w:rPr>
          <w:b/>
          <w:noProof/>
          <w:szCs w:val="22"/>
        </w:rPr>
        <w:lastRenderedPageBreak/>
        <w:drawing>
          <wp:inline distT="0" distB="0" distL="0" distR="0">
            <wp:extent cx="8515350" cy="3867150"/>
            <wp:effectExtent l="19050" t="0" r="1905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F3862">
        <w:rPr>
          <w:b/>
          <w:szCs w:val="22"/>
        </w:rPr>
        <w:t xml:space="preserve"> </w:t>
      </w:r>
    </w:p>
    <w:p w:rsidR="00FF00F5" w:rsidRDefault="00FF00F5" w:rsidP="002B5F73">
      <w:pPr>
        <w:pStyle w:val="Default"/>
        <w:rPr>
          <w:b/>
          <w:szCs w:val="22"/>
        </w:rPr>
      </w:pPr>
    </w:p>
    <w:p w:rsidR="00FF00F5" w:rsidRDefault="00FF00F5" w:rsidP="002B5F73">
      <w:pPr>
        <w:pStyle w:val="Default"/>
        <w:rPr>
          <w:b/>
          <w:szCs w:val="22"/>
        </w:rPr>
      </w:pPr>
    </w:p>
    <w:p w:rsidR="00FF00F5" w:rsidRPr="00CC465B" w:rsidRDefault="00CC465B" w:rsidP="00F51176">
      <w:pPr>
        <w:pStyle w:val="Default"/>
        <w:jc w:val="both"/>
        <w:rPr>
          <w:szCs w:val="22"/>
        </w:rPr>
      </w:pPr>
      <w:r w:rsidRPr="00CC465B">
        <w:rPr>
          <w:szCs w:val="22"/>
        </w:rPr>
        <w:t>On the other hand</w:t>
      </w:r>
      <w:r>
        <w:rPr>
          <w:szCs w:val="22"/>
        </w:rPr>
        <w:t>, only 11.6% of rural Harari males are in the 20-45 age group</w:t>
      </w:r>
      <w:r w:rsidR="0009712A">
        <w:rPr>
          <w:szCs w:val="22"/>
        </w:rPr>
        <w:t>. T</w:t>
      </w:r>
      <w:r w:rsidR="00F51176">
        <w:rPr>
          <w:szCs w:val="22"/>
        </w:rPr>
        <w:t xml:space="preserve">he proportion for urban males in this broad age group is </w:t>
      </w:r>
      <w:r w:rsidR="0009712A">
        <w:rPr>
          <w:szCs w:val="22"/>
        </w:rPr>
        <w:t xml:space="preserve">17%. </w:t>
      </w:r>
      <w:r w:rsidR="009345AD">
        <w:rPr>
          <w:szCs w:val="22"/>
        </w:rPr>
        <w:t xml:space="preserve">More useful from the point of view of reproduction and fertility are the urban-rural differences in the proportions of females in the 15-49 age group. Just over a fifth (22.1%) of rural females </w:t>
      </w:r>
      <w:r w:rsidR="002C7A1D">
        <w:rPr>
          <w:szCs w:val="22"/>
        </w:rPr>
        <w:t xml:space="preserve">and </w:t>
      </w:r>
      <w:r w:rsidR="009345AD">
        <w:rPr>
          <w:szCs w:val="22"/>
        </w:rPr>
        <w:t>nearly a third (29.4%) of urban females are in this age group</w:t>
      </w:r>
      <w:r w:rsidR="002C7A1D">
        <w:rPr>
          <w:szCs w:val="22"/>
        </w:rPr>
        <w:t xml:space="preserve"> suggesting the possibility of a  higher fertility in urban than rural Harari</w:t>
      </w:r>
      <w:r w:rsidR="009345AD">
        <w:rPr>
          <w:szCs w:val="22"/>
        </w:rPr>
        <w:t xml:space="preserve">. </w:t>
      </w:r>
      <w:r w:rsidR="002C7A1D">
        <w:rPr>
          <w:szCs w:val="22"/>
        </w:rPr>
        <w:t xml:space="preserve">However, unsurprisingly, a reverse finding has been recorded in Harari – lower urban than rural fertility – due to the lower urban age-specific fertility rates made possible by higher levels of population control through contraception and other means.  </w:t>
      </w:r>
    </w:p>
    <w:p w:rsidR="00FF00F5" w:rsidRDefault="00FF00F5" w:rsidP="002B5F73">
      <w:pPr>
        <w:pStyle w:val="Default"/>
        <w:rPr>
          <w:b/>
          <w:szCs w:val="22"/>
        </w:rPr>
      </w:pPr>
    </w:p>
    <w:p w:rsidR="00E575E7" w:rsidRDefault="00E575E7" w:rsidP="002B5F73">
      <w:pPr>
        <w:pStyle w:val="Default"/>
        <w:rPr>
          <w:b/>
          <w:szCs w:val="22"/>
        </w:rPr>
      </w:pPr>
    </w:p>
    <w:p w:rsidR="00FF00F5" w:rsidRDefault="00E575E7" w:rsidP="002B5F73">
      <w:pPr>
        <w:pStyle w:val="Default"/>
        <w:rPr>
          <w:b/>
          <w:szCs w:val="22"/>
        </w:rPr>
      </w:pPr>
      <w:r>
        <w:rPr>
          <w:szCs w:val="22"/>
        </w:rPr>
        <w:t xml:space="preserve"> </w:t>
      </w:r>
    </w:p>
    <w:p w:rsidR="00FF00F5" w:rsidRDefault="00FF00F5" w:rsidP="002B5F73">
      <w:pPr>
        <w:pStyle w:val="Default"/>
        <w:rPr>
          <w:b/>
          <w:szCs w:val="22"/>
        </w:rPr>
      </w:pPr>
    </w:p>
    <w:p w:rsidR="00FF00F5" w:rsidRDefault="00FF00F5" w:rsidP="002B5F73">
      <w:pPr>
        <w:pStyle w:val="Default"/>
        <w:rPr>
          <w:b/>
          <w:szCs w:val="22"/>
        </w:rPr>
      </w:pPr>
    </w:p>
    <w:p w:rsidR="00FF00F5" w:rsidRDefault="00FF00F5" w:rsidP="002B5F73">
      <w:pPr>
        <w:pStyle w:val="Default"/>
        <w:rPr>
          <w:b/>
          <w:szCs w:val="22"/>
        </w:rPr>
      </w:pPr>
    </w:p>
    <w:p w:rsidR="00FF00F5" w:rsidRDefault="00FF00F5" w:rsidP="002B5F73">
      <w:pPr>
        <w:pStyle w:val="Default"/>
        <w:rPr>
          <w:b/>
          <w:szCs w:val="22"/>
        </w:rPr>
      </w:pPr>
    </w:p>
    <w:p w:rsidR="00FF00F5" w:rsidRDefault="00FF00F5" w:rsidP="002B5F73">
      <w:pPr>
        <w:pStyle w:val="Default"/>
        <w:rPr>
          <w:b/>
          <w:szCs w:val="22"/>
        </w:rPr>
      </w:pPr>
      <w:r w:rsidRPr="00FF00F5">
        <w:rPr>
          <w:b/>
          <w:noProof/>
          <w:szCs w:val="22"/>
        </w:rPr>
        <w:drawing>
          <wp:inline distT="0" distB="0" distL="0" distR="0">
            <wp:extent cx="8829675" cy="4343400"/>
            <wp:effectExtent l="19050" t="0" r="9525" b="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3D10" w:rsidRDefault="001D3D10" w:rsidP="002B5F73">
      <w:pPr>
        <w:pStyle w:val="Default"/>
        <w:rPr>
          <w:b/>
          <w:szCs w:val="22"/>
        </w:rPr>
      </w:pPr>
    </w:p>
    <w:p w:rsidR="001D3D10" w:rsidRDefault="001D3D10" w:rsidP="002B5F73">
      <w:pPr>
        <w:pStyle w:val="Default"/>
        <w:rPr>
          <w:b/>
          <w:szCs w:val="22"/>
        </w:rPr>
      </w:pPr>
    </w:p>
    <w:p w:rsidR="00E575E7" w:rsidRDefault="00E575E7" w:rsidP="002B5F73">
      <w:pPr>
        <w:pStyle w:val="Default"/>
        <w:rPr>
          <w:b/>
          <w:szCs w:val="22"/>
        </w:rPr>
      </w:pPr>
    </w:p>
    <w:p w:rsidR="00E575E7" w:rsidRDefault="00E575E7" w:rsidP="002B5F73">
      <w:pPr>
        <w:pStyle w:val="Default"/>
        <w:rPr>
          <w:b/>
          <w:szCs w:val="22"/>
        </w:rPr>
      </w:pPr>
    </w:p>
    <w:p w:rsidR="00E575E7" w:rsidRDefault="00E575E7" w:rsidP="00753F1A">
      <w:pPr>
        <w:pStyle w:val="Default"/>
        <w:jc w:val="both"/>
        <w:rPr>
          <w:szCs w:val="22"/>
        </w:rPr>
      </w:pPr>
      <w:r w:rsidRPr="00E575E7">
        <w:rPr>
          <w:szCs w:val="22"/>
        </w:rPr>
        <w:t xml:space="preserve">An alternative </w:t>
      </w:r>
      <w:r>
        <w:rPr>
          <w:szCs w:val="22"/>
        </w:rPr>
        <w:t xml:space="preserve">approach to understanding the urban and rural age structure in Harari is to compare the </w:t>
      </w:r>
      <w:r w:rsidR="00975A5A">
        <w:rPr>
          <w:szCs w:val="22"/>
        </w:rPr>
        <w:t>urban and rural age</w:t>
      </w:r>
      <w:r>
        <w:rPr>
          <w:szCs w:val="22"/>
        </w:rPr>
        <w:t xml:space="preserve"> pyramids (Fig. 4 and 5)</w:t>
      </w:r>
      <w:r w:rsidR="0038335B">
        <w:rPr>
          <w:szCs w:val="22"/>
        </w:rPr>
        <w:t>. The rural age structure has a classic pyramid-shape with broad base and</w:t>
      </w:r>
      <w:r w:rsidR="00F51176">
        <w:rPr>
          <w:szCs w:val="22"/>
        </w:rPr>
        <w:t xml:space="preserve"> a</w:t>
      </w:r>
      <w:r w:rsidR="0038335B">
        <w:rPr>
          <w:szCs w:val="22"/>
        </w:rPr>
        <w:t xml:space="preserve"> rapidly tapering mid-sectio</w:t>
      </w:r>
      <w:r w:rsidR="00F51176">
        <w:rPr>
          <w:szCs w:val="22"/>
        </w:rPr>
        <w:t>n displaying the youthful age s</w:t>
      </w:r>
      <w:r w:rsidR="0038335B">
        <w:rPr>
          <w:szCs w:val="22"/>
        </w:rPr>
        <w:t xml:space="preserve">tructure </w:t>
      </w:r>
      <w:r w:rsidR="00F51176">
        <w:rPr>
          <w:szCs w:val="22"/>
        </w:rPr>
        <w:t xml:space="preserve">of </w:t>
      </w:r>
      <w:r w:rsidR="0038335B">
        <w:rPr>
          <w:szCs w:val="22"/>
        </w:rPr>
        <w:t>the population in response to higher rural fertility and a higher rural than urban mortality. Out-migration of the rural youth often creates a dip in mid-sections both o</w:t>
      </w:r>
      <w:r w:rsidR="00711B4D">
        <w:rPr>
          <w:szCs w:val="22"/>
        </w:rPr>
        <w:t>n</w:t>
      </w:r>
      <w:r w:rsidR="0038335B">
        <w:rPr>
          <w:szCs w:val="22"/>
        </w:rPr>
        <w:t xml:space="preserve"> the right and left sides of the pyramid but evidence of</w:t>
      </w:r>
      <w:r w:rsidR="00F51176">
        <w:rPr>
          <w:szCs w:val="22"/>
        </w:rPr>
        <w:t xml:space="preserve"> </w:t>
      </w:r>
      <w:r w:rsidR="0038335B">
        <w:rPr>
          <w:szCs w:val="22"/>
        </w:rPr>
        <w:t xml:space="preserve">outmigration from rural </w:t>
      </w:r>
      <w:r w:rsidR="00F51176">
        <w:rPr>
          <w:szCs w:val="22"/>
        </w:rPr>
        <w:t xml:space="preserve">Harari is not readily apparent in </w:t>
      </w:r>
      <w:r w:rsidR="0038335B">
        <w:rPr>
          <w:szCs w:val="22"/>
        </w:rPr>
        <w:t>F</w:t>
      </w:r>
      <w:r w:rsidR="00F51176">
        <w:rPr>
          <w:szCs w:val="22"/>
        </w:rPr>
        <w:t>igure. 4</w:t>
      </w:r>
      <w:r w:rsidR="00CE1C7E">
        <w:rPr>
          <w:szCs w:val="22"/>
        </w:rPr>
        <w:t>.</w:t>
      </w:r>
      <w:r w:rsidR="001D17AE">
        <w:rPr>
          <w:szCs w:val="22"/>
        </w:rPr>
        <w:t xml:space="preserve"> On the other hand, the evidence for youth in-migration (a bulge in the middle), low fertility (narrow bottom), and relatively lighter mortality are evident in the urban age pyramid (Fig. 5)</w:t>
      </w:r>
    </w:p>
    <w:p w:rsidR="00BE349B" w:rsidRDefault="00BE349B" w:rsidP="00753F1A">
      <w:pPr>
        <w:pStyle w:val="Default"/>
        <w:jc w:val="both"/>
        <w:rPr>
          <w:szCs w:val="22"/>
        </w:rPr>
      </w:pPr>
    </w:p>
    <w:p w:rsidR="00BE349B" w:rsidRDefault="00BE349B" w:rsidP="00753F1A">
      <w:pPr>
        <w:pStyle w:val="Default"/>
        <w:jc w:val="both"/>
        <w:rPr>
          <w:szCs w:val="22"/>
        </w:rPr>
      </w:pPr>
    </w:p>
    <w:p w:rsidR="00BE349B" w:rsidRPr="00E575E7" w:rsidRDefault="00BE349B" w:rsidP="00753F1A">
      <w:pPr>
        <w:pStyle w:val="Default"/>
        <w:jc w:val="both"/>
        <w:rPr>
          <w:szCs w:val="22"/>
        </w:rPr>
      </w:pPr>
    </w:p>
    <w:p w:rsidR="00E575E7" w:rsidRDefault="00E575E7" w:rsidP="00E575E7">
      <w:pPr>
        <w:pStyle w:val="Default"/>
        <w:rPr>
          <w:b/>
          <w:szCs w:val="22"/>
        </w:rPr>
      </w:pPr>
    </w:p>
    <w:p w:rsidR="00E575E7" w:rsidRPr="0021142A" w:rsidRDefault="00E575E7" w:rsidP="002B5F73">
      <w:pPr>
        <w:pStyle w:val="Default"/>
        <w:rPr>
          <w:b/>
          <w:szCs w:val="22"/>
        </w:rPr>
      </w:pPr>
    </w:p>
    <w:tbl>
      <w:tblPr>
        <w:tblW w:w="9550" w:type="dxa"/>
        <w:tblInd w:w="108" w:type="dxa"/>
        <w:tblLook w:val="04A0"/>
      </w:tblPr>
      <w:tblGrid>
        <w:gridCol w:w="1176"/>
        <w:gridCol w:w="222"/>
        <w:gridCol w:w="222"/>
        <w:gridCol w:w="222"/>
        <w:gridCol w:w="4511"/>
        <w:gridCol w:w="222"/>
        <w:gridCol w:w="222"/>
        <w:gridCol w:w="222"/>
        <w:gridCol w:w="2531"/>
      </w:tblGrid>
      <w:tr w:rsidR="000977F6" w:rsidRPr="000977F6" w:rsidTr="00DB00C1">
        <w:trPr>
          <w:trHeight w:val="31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5843" w:type="dxa"/>
            <w:gridSpan w:val="7"/>
            <w:tcBorders>
              <w:top w:val="nil"/>
              <w:left w:val="nil"/>
              <w:bottom w:val="nil"/>
              <w:right w:val="nil"/>
            </w:tcBorders>
            <w:shd w:val="clear" w:color="auto" w:fill="auto"/>
            <w:noWrap/>
            <w:vAlign w:val="bottom"/>
            <w:hideMark/>
          </w:tcPr>
          <w:p w:rsidR="000977F6" w:rsidRPr="000977F6" w:rsidRDefault="000977F6" w:rsidP="00E575E7">
            <w:pPr>
              <w:spacing w:line="240" w:lineRule="auto"/>
              <w:rPr>
                <w:rFonts w:ascii="Arial" w:eastAsia="Times New Roman" w:hAnsi="Arial" w:cs="Arial"/>
              </w:rPr>
            </w:pPr>
            <w:r w:rsidRPr="000977F6">
              <w:rPr>
                <w:rFonts w:ascii="Arial" w:eastAsia="Times New Roman" w:hAnsi="Arial" w:cs="Arial"/>
              </w:rPr>
              <w:t xml:space="preserve"> </w:t>
            </w:r>
            <w:r w:rsidR="00FF6312" w:rsidRPr="00975A5A">
              <w:rPr>
                <w:rFonts w:ascii="Arial" w:eastAsia="Times New Roman" w:hAnsi="Arial" w:cs="Arial"/>
                <w:b/>
              </w:rPr>
              <w:t xml:space="preserve">Figure </w:t>
            </w:r>
            <w:r w:rsidR="00E575E7" w:rsidRPr="00975A5A">
              <w:rPr>
                <w:rFonts w:ascii="Arial" w:eastAsia="Times New Roman" w:hAnsi="Arial" w:cs="Arial"/>
                <w:b/>
              </w:rPr>
              <w:t>4</w:t>
            </w:r>
            <w:r w:rsidR="00FF6312" w:rsidRPr="00975A5A">
              <w:rPr>
                <w:rFonts w:ascii="Arial" w:eastAsia="Times New Roman" w:hAnsi="Arial" w:cs="Arial"/>
                <w:b/>
                <w:sz w:val="36"/>
              </w:rPr>
              <w:t xml:space="preserve">  </w:t>
            </w:r>
            <w:r w:rsidR="00FF6312" w:rsidRPr="00975A5A">
              <w:rPr>
                <w:rFonts w:ascii="Arial" w:eastAsia="Times New Roman" w:hAnsi="Arial" w:cs="Arial"/>
                <w:b/>
              </w:rPr>
              <w:t>P</w:t>
            </w:r>
            <w:r w:rsidRPr="000977F6">
              <w:rPr>
                <w:rFonts w:ascii="Arial" w:eastAsia="Times New Roman" w:hAnsi="Arial" w:cs="Arial"/>
                <w:b/>
              </w:rPr>
              <w:t>opulation pyramid, Harari, 2007 (</w:t>
            </w:r>
            <w:r w:rsidR="00665417" w:rsidRPr="00975A5A">
              <w:rPr>
                <w:rFonts w:ascii="Arial" w:eastAsia="Times New Roman" w:hAnsi="Arial" w:cs="Arial"/>
                <w:b/>
              </w:rPr>
              <w:t>rural</w:t>
            </w:r>
            <w:r w:rsidRPr="000977F6">
              <w:rPr>
                <w:rFonts w:ascii="Arial" w:eastAsia="Times New Roman" w:hAnsi="Arial" w:cs="Arial"/>
                <w:b/>
              </w:rPr>
              <w:t>)</w:t>
            </w:r>
          </w:p>
        </w:tc>
        <w:tc>
          <w:tcPr>
            <w:tcW w:w="2531"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531"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bl>
            <w:tblPr>
              <w:tblW w:w="0" w:type="auto"/>
              <w:tblCellSpacing w:w="0" w:type="dxa"/>
              <w:tblCellMar>
                <w:left w:w="0" w:type="dxa"/>
                <w:right w:w="0" w:type="dxa"/>
              </w:tblCellMar>
              <w:tblLook w:val="04A0"/>
            </w:tblPr>
            <w:tblGrid>
              <w:gridCol w:w="960"/>
            </w:tblGrid>
            <w:tr w:rsidR="000977F6" w:rsidRPr="000977F6">
              <w:trPr>
                <w:trHeight w:val="255"/>
                <w:tblCellSpacing w:w="0" w:type="dxa"/>
              </w:trPr>
              <w:tc>
                <w:tcPr>
                  <w:tcW w:w="960"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7456" behindDoc="0" locked="0" layoutInCell="1" allowOverlap="1">
                        <wp:simplePos x="0" y="0"/>
                        <wp:positionH relativeFrom="column">
                          <wp:posOffset>-49530</wp:posOffset>
                        </wp:positionH>
                        <wp:positionV relativeFrom="paragraph">
                          <wp:posOffset>114935</wp:posOffset>
                        </wp:positionV>
                        <wp:extent cx="3267075" cy="3448050"/>
                        <wp:effectExtent l="19050" t="0" r="9525" b="0"/>
                        <wp:wrapNone/>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c>
            </w:tr>
          </w:tbl>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auto" w:fill="auto"/>
            <w:noWrap/>
            <w:vAlign w:val="bottom"/>
            <w:hideMark/>
          </w:tcPr>
          <w:p w:rsidR="000977F6" w:rsidRPr="000977F6" w:rsidRDefault="006F53D8" w:rsidP="000977F6">
            <w:pPr>
              <w:spacing w:line="240" w:lineRule="auto"/>
              <w:jc w:val="center"/>
              <w:rPr>
                <w:rFonts w:ascii="Arial" w:eastAsia="Times New Roman" w:hAnsi="Arial" w:cs="Arial"/>
                <w:sz w:val="12"/>
                <w:szCs w:val="12"/>
              </w:rPr>
            </w:pPr>
            <w:r>
              <w:rPr>
                <w:rFonts w:ascii="Arial" w:eastAsia="Times New Roman" w:hAnsi="Arial" w:cs="Arial"/>
                <w:noProof/>
                <w:sz w:val="12"/>
                <w:szCs w:val="12"/>
              </w:rPr>
              <w:drawing>
                <wp:anchor distT="0" distB="0" distL="114300" distR="114300" simplePos="0" relativeHeight="251666432" behindDoc="0" locked="0" layoutInCell="1" allowOverlap="1">
                  <wp:simplePos x="0" y="0"/>
                  <wp:positionH relativeFrom="column">
                    <wp:posOffset>2407920</wp:posOffset>
                  </wp:positionH>
                  <wp:positionV relativeFrom="paragraph">
                    <wp:posOffset>252730</wp:posOffset>
                  </wp:positionV>
                  <wp:extent cx="3838575" cy="3457575"/>
                  <wp:effectExtent l="19050" t="0" r="9525" b="0"/>
                  <wp:wrapNone/>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0977F6" w:rsidRPr="000977F6">
              <w:rPr>
                <w:rFonts w:ascii="Arial" w:eastAsia="Times New Roman" w:hAnsi="Arial" w:cs="Arial"/>
                <w:sz w:val="12"/>
                <w:szCs w:val="12"/>
              </w:rPr>
              <w:t xml:space="preserve"> </w:t>
            </w:r>
          </w:p>
        </w:tc>
        <w:tc>
          <w:tcPr>
            <w:tcW w:w="3197" w:type="dxa"/>
            <w:gridSpan w:val="4"/>
            <w:vMerge w:val="restart"/>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b/>
                <w:bCs w:val="0"/>
                <w:sz w:val="18"/>
                <w:szCs w:val="18"/>
              </w:rPr>
            </w:pPr>
            <w:r w:rsidRPr="000977F6">
              <w:rPr>
                <w:rFonts w:ascii="Arial" w:eastAsia="Times New Roman" w:hAnsi="Arial" w:cs="Arial"/>
                <w:b/>
                <w:sz w:val="18"/>
                <w:szCs w:val="18"/>
              </w:rPr>
              <w:t xml:space="preserve"> Age</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0977F6" w:rsidP="000977F6">
            <w:pPr>
              <w:spacing w:line="240" w:lineRule="auto"/>
              <w:jc w:val="center"/>
              <w:rPr>
                <w:rFonts w:ascii="Arial" w:eastAsia="Times New Roman" w:hAnsi="Arial" w:cs="Arial"/>
                <w:sz w:val="10"/>
                <w:szCs w:val="10"/>
              </w:rPr>
            </w:pPr>
            <w:r w:rsidRPr="000977F6">
              <w:rPr>
                <w:rFonts w:ascii="Arial" w:eastAsia="Times New Roman" w:hAnsi="Arial" w:cs="Arial"/>
                <w:sz w:val="10"/>
                <w:szCs w:val="10"/>
              </w:rPr>
              <w:t xml:space="preserve"> </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75+</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70-74</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65-69</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60-64</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55-59</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50-54</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45-49</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40-44</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35-39</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30-34</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25-29</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20-24</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15-19</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10-14</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5-9</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000000" w:fill="EEECE1"/>
            <w:noWrap/>
            <w:vAlign w:val="bottom"/>
            <w:hideMark/>
          </w:tcPr>
          <w:p w:rsidR="000977F6" w:rsidRPr="000977F6" w:rsidRDefault="006F53D8" w:rsidP="000977F6">
            <w:pPr>
              <w:spacing w:line="240" w:lineRule="auto"/>
              <w:jc w:val="center"/>
              <w:rPr>
                <w:rFonts w:ascii="Arial" w:eastAsia="Times New Roman" w:hAnsi="Arial" w:cs="Arial"/>
                <w:sz w:val="14"/>
                <w:szCs w:val="14"/>
              </w:rPr>
            </w:pPr>
            <w:r>
              <w:rPr>
                <w:rFonts w:ascii="Arial" w:eastAsia="Times New Roman" w:hAnsi="Arial" w:cs="Arial"/>
                <w:sz w:val="14"/>
                <w:szCs w:val="14"/>
              </w:rPr>
              <w:t xml:space="preserve">                                                          </w:t>
            </w:r>
            <w:r w:rsidR="000977F6" w:rsidRPr="000977F6">
              <w:rPr>
                <w:rFonts w:ascii="Arial" w:eastAsia="Times New Roman" w:hAnsi="Arial" w:cs="Arial"/>
                <w:sz w:val="14"/>
                <w:szCs w:val="14"/>
              </w:rPr>
              <w:t>0-4</w:t>
            </w: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r w:rsidR="000977F6" w:rsidRPr="000977F6" w:rsidTr="00DB00C1">
        <w:trPr>
          <w:trHeight w:val="255"/>
        </w:trPr>
        <w:tc>
          <w:tcPr>
            <w:tcW w:w="1176"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4511" w:type="dxa"/>
            <w:tcBorders>
              <w:top w:val="nil"/>
              <w:left w:val="nil"/>
              <w:bottom w:val="nil"/>
              <w:right w:val="nil"/>
            </w:tcBorders>
            <w:shd w:val="clear" w:color="auto" w:fill="auto"/>
            <w:noWrap/>
            <w:vAlign w:val="bottom"/>
            <w:hideMark/>
          </w:tcPr>
          <w:p w:rsidR="000977F6" w:rsidRPr="000977F6" w:rsidRDefault="000977F6" w:rsidP="000977F6">
            <w:pPr>
              <w:spacing w:line="240" w:lineRule="auto"/>
              <w:rPr>
                <w:rFonts w:ascii="Arial" w:eastAsia="Times New Roman" w:hAnsi="Arial" w:cs="Arial"/>
                <w:sz w:val="20"/>
                <w:szCs w:val="20"/>
              </w:rPr>
            </w:pPr>
          </w:p>
        </w:tc>
        <w:tc>
          <w:tcPr>
            <w:tcW w:w="3197" w:type="dxa"/>
            <w:gridSpan w:val="4"/>
            <w:vMerge/>
            <w:tcBorders>
              <w:top w:val="nil"/>
              <w:left w:val="nil"/>
              <w:bottom w:val="nil"/>
              <w:right w:val="nil"/>
            </w:tcBorders>
            <w:vAlign w:val="center"/>
            <w:hideMark/>
          </w:tcPr>
          <w:p w:rsidR="000977F6" w:rsidRPr="000977F6" w:rsidRDefault="000977F6" w:rsidP="000977F6">
            <w:pPr>
              <w:spacing w:line="240" w:lineRule="auto"/>
              <w:rPr>
                <w:rFonts w:ascii="Arial" w:eastAsia="Times New Roman" w:hAnsi="Arial" w:cs="Arial"/>
                <w:sz w:val="20"/>
                <w:szCs w:val="20"/>
              </w:rPr>
            </w:pPr>
          </w:p>
        </w:tc>
      </w:tr>
    </w:tbl>
    <w:p w:rsidR="006F53D8" w:rsidRDefault="00DB00C1" w:rsidP="00A64620">
      <w:pPr>
        <w:pStyle w:val="Default"/>
        <w:ind w:firstLine="720"/>
      </w:pPr>
      <w:r>
        <w:t>Source: Based on [5]</w:t>
      </w:r>
    </w:p>
    <w:p w:rsidR="00DB00C1" w:rsidRDefault="00DB00C1" w:rsidP="00A64620">
      <w:pPr>
        <w:pStyle w:val="Default"/>
        <w:ind w:firstLine="720"/>
      </w:pPr>
    </w:p>
    <w:p w:rsidR="00DB00C1" w:rsidRDefault="00DB00C1" w:rsidP="00A64620">
      <w:pPr>
        <w:pStyle w:val="Default"/>
        <w:ind w:firstLine="720"/>
      </w:pPr>
    </w:p>
    <w:p w:rsidR="00DB00C1" w:rsidRDefault="00DB00C1" w:rsidP="00A64620">
      <w:pPr>
        <w:pStyle w:val="Default"/>
        <w:ind w:firstLine="720"/>
      </w:pPr>
    </w:p>
    <w:p w:rsidR="00DB00C1" w:rsidRDefault="00DB00C1" w:rsidP="00A64620">
      <w:pPr>
        <w:pStyle w:val="Default"/>
        <w:ind w:firstLine="720"/>
      </w:pPr>
    </w:p>
    <w:p w:rsidR="00DB00C1" w:rsidRDefault="00DB00C1" w:rsidP="00A64620">
      <w:pPr>
        <w:pStyle w:val="Default"/>
        <w:ind w:firstLine="720"/>
      </w:pPr>
    </w:p>
    <w:tbl>
      <w:tblPr>
        <w:tblW w:w="10654" w:type="dxa"/>
        <w:tblInd w:w="108" w:type="dxa"/>
        <w:tblLook w:val="04A0"/>
      </w:tblPr>
      <w:tblGrid>
        <w:gridCol w:w="906"/>
        <w:gridCol w:w="906"/>
        <w:gridCol w:w="222"/>
        <w:gridCol w:w="222"/>
        <w:gridCol w:w="222"/>
        <w:gridCol w:w="4816"/>
        <w:gridCol w:w="222"/>
        <w:gridCol w:w="222"/>
        <w:gridCol w:w="222"/>
        <w:gridCol w:w="2694"/>
      </w:tblGrid>
      <w:tr w:rsidR="00665417" w:rsidRPr="00665417" w:rsidTr="00DB00C1">
        <w:trPr>
          <w:trHeight w:val="31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6148" w:type="dxa"/>
            <w:gridSpan w:val="7"/>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rPr>
            </w:pPr>
            <w:r w:rsidRPr="00665417">
              <w:rPr>
                <w:rFonts w:ascii="Arial" w:eastAsia="Times New Roman" w:hAnsi="Arial" w:cs="Arial"/>
                <w:b/>
                <w:sz w:val="18"/>
              </w:rPr>
              <w:t xml:space="preserve">         </w:t>
            </w:r>
            <w:r w:rsidR="00975A5A" w:rsidRPr="00975A5A">
              <w:rPr>
                <w:rFonts w:ascii="Arial" w:eastAsia="Times New Roman" w:hAnsi="Arial" w:cs="Arial"/>
                <w:b/>
                <w:sz w:val="18"/>
              </w:rPr>
              <w:t xml:space="preserve">     </w:t>
            </w:r>
            <w:r w:rsidRPr="00665417">
              <w:rPr>
                <w:rFonts w:ascii="Arial" w:eastAsia="Times New Roman" w:hAnsi="Arial" w:cs="Arial"/>
                <w:b/>
                <w:sz w:val="18"/>
              </w:rPr>
              <w:t xml:space="preserve"> </w:t>
            </w:r>
            <w:r w:rsidR="00DB00C1">
              <w:rPr>
                <w:rFonts w:ascii="Arial" w:eastAsia="Times New Roman" w:hAnsi="Arial" w:cs="Arial"/>
                <w:b/>
                <w:sz w:val="18"/>
              </w:rPr>
              <w:t xml:space="preserve">       </w:t>
            </w:r>
            <w:r w:rsidR="00E575E7" w:rsidRPr="00975A5A">
              <w:rPr>
                <w:rFonts w:ascii="Arial" w:eastAsia="Times New Roman" w:hAnsi="Arial" w:cs="Arial"/>
                <w:b/>
                <w:sz w:val="20"/>
              </w:rPr>
              <w:t>Figure</w:t>
            </w:r>
            <w:r w:rsidR="00975A5A" w:rsidRPr="00975A5A">
              <w:rPr>
                <w:rFonts w:ascii="Arial" w:eastAsia="Times New Roman" w:hAnsi="Arial" w:cs="Arial"/>
                <w:b/>
                <w:sz w:val="20"/>
              </w:rPr>
              <w:t xml:space="preserve"> 5.</w:t>
            </w:r>
            <w:r w:rsidR="00E575E7" w:rsidRPr="00975A5A">
              <w:rPr>
                <w:rFonts w:ascii="Arial" w:eastAsia="Times New Roman" w:hAnsi="Arial" w:cs="Arial"/>
                <w:sz w:val="18"/>
              </w:rPr>
              <w:t xml:space="preserve"> </w:t>
            </w:r>
            <w:r w:rsidRPr="00665417">
              <w:rPr>
                <w:rFonts w:ascii="Arial" w:eastAsia="Times New Roman" w:hAnsi="Arial" w:cs="Arial"/>
                <w:sz w:val="18"/>
              </w:rPr>
              <w:t xml:space="preserve"> </w:t>
            </w:r>
            <w:r w:rsidRPr="00665417">
              <w:rPr>
                <w:rFonts w:ascii="Arial" w:eastAsia="Times New Roman" w:hAnsi="Arial" w:cs="Arial"/>
                <w:b/>
                <w:sz w:val="20"/>
              </w:rPr>
              <w:t>Population pyramid, Harari, 2007 (Urban)</w:t>
            </w:r>
          </w:p>
        </w:tc>
        <w:tc>
          <w:tcPr>
            <w:tcW w:w="2694"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694"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bl>
            <w:tblPr>
              <w:tblW w:w="0" w:type="auto"/>
              <w:tblCellSpacing w:w="0" w:type="dxa"/>
              <w:tblCellMar>
                <w:left w:w="0" w:type="dxa"/>
                <w:right w:w="0" w:type="dxa"/>
              </w:tblCellMar>
              <w:tblLook w:val="04A0"/>
            </w:tblPr>
            <w:tblGrid>
              <w:gridCol w:w="160"/>
            </w:tblGrid>
            <w:tr w:rsidR="00665417" w:rsidRPr="00665417">
              <w:trPr>
                <w:trHeight w:val="255"/>
                <w:tblCellSpacing w:w="0" w:type="dxa"/>
              </w:trPr>
              <w:tc>
                <w:tcPr>
                  <w:tcW w:w="160"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r>
          </w:tbl>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jc w:val="center"/>
              <w:rPr>
                <w:rFonts w:ascii="Arial" w:eastAsia="Times New Roman" w:hAnsi="Arial" w:cs="Arial"/>
                <w:sz w:val="12"/>
                <w:szCs w:val="12"/>
              </w:rPr>
            </w:pPr>
            <w:r w:rsidRPr="00665417">
              <w:rPr>
                <w:rFonts w:ascii="Arial" w:eastAsia="Times New Roman" w:hAnsi="Arial" w:cs="Arial"/>
                <w:sz w:val="12"/>
                <w:szCs w:val="12"/>
              </w:rPr>
              <w:t xml:space="preserve"> </w:t>
            </w:r>
          </w:p>
        </w:tc>
        <w:tc>
          <w:tcPr>
            <w:tcW w:w="3360" w:type="dxa"/>
            <w:gridSpan w:val="4"/>
            <w:vMerge w:val="restart"/>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387"/>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F53D8" w:rsidP="00665417">
            <w:pPr>
              <w:spacing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70528" behindDoc="0" locked="0" layoutInCell="1" allowOverlap="1">
                  <wp:simplePos x="0" y="0"/>
                  <wp:positionH relativeFrom="column">
                    <wp:posOffset>55245</wp:posOffset>
                  </wp:positionH>
                  <wp:positionV relativeFrom="paragraph">
                    <wp:posOffset>5080</wp:posOffset>
                  </wp:positionV>
                  <wp:extent cx="3076575" cy="3267075"/>
                  <wp:effectExtent l="19050" t="0" r="9525" b="0"/>
                  <wp:wrapNone/>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auto" w:fill="auto"/>
            <w:noWrap/>
            <w:vAlign w:val="bottom"/>
            <w:hideMark/>
          </w:tcPr>
          <w:p w:rsidR="00665417" w:rsidRPr="00665417" w:rsidRDefault="006F53D8" w:rsidP="00665417">
            <w:pPr>
              <w:spacing w:line="240" w:lineRule="auto"/>
              <w:rPr>
                <w:rFonts w:ascii="Arial" w:eastAsia="Times New Roman" w:hAnsi="Arial" w:cs="Arial"/>
                <w:b/>
                <w:bCs w:val="0"/>
                <w:sz w:val="18"/>
                <w:szCs w:val="18"/>
              </w:rPr>
            </w:pPr>
            <w:r>
              <w:rPr>
                <w:rFonts w:ascii="Arial" w:eastAsia="Times New Roman" w:hAnsi="Arial" w:cs="Arial"/>
                <w:b/>
                <w:bCs w:val="0"/>
                <w:noProof/>
                <w:sz w:val="18"/>
                <w:szCs w:val="18"/>
              </w:rPr>
              <w:drawing>
                <wp:anchor distT="0" distB="0" distL="114300" distR="114300" simplePos="0" relativeHeight="251669504" behindDoc="0" locked="0" layoutInCell="1" allowOverlap="1">
                  <wp:simplePos x="0" y="0"/>
                  <wp:positionH relativeFrom="column">
                    <wp:posOffset>2569845</wp:posOffset>
                  </wp:positionH>
                  <wp:positionV relativeFrom="paragraph">
                    <wp:posOffset>-25400</wp:posOffset>
                  </wp:positionV>
                  <wp:extent cx="3714750" cy="3352800"/>
                  <wp:effectExtent l="19050" t="0" r="19050" b="0"/>
                  <wp:wrapNone/>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665417" w:rsidRPr="00665417">
              <w:rPr>
                <w:rFonts w:ascii="Arial" w:eastAsia="Times New Roman" w:hAnsi="Arial" w:cs="Arial"/>
                <w:b/>
                <w:sz w:val="18"/>
                <w:szCs w:val="18"/>
              </w:rPr>
              <w:t xml:space="preserve"> Age</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13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65417" w:rsidP="00665417">
            <w:pPr>
              <w:spacing w:line="240" w:lineRule="auto"/>
              <w:jc w:val="center"/>
              <w:rPr>
                <w:rFonts w:ascii="Arial" w:eastAsia="Times New Roman" w:hAnsi="Arial" w:cs="Arial"/>
                <w:sz w:val="10"/>
                <w:szCs w:val="10"/>
              </w:rPr>
            </w:pPr>
            <w:r w:rsidRPr="00665417">
              <w:rPr>
                <w:rFonts w:ascii="Arial" w:eastAsia="Times New Roman" w:hAnsi="Arial" w:cs="Arial"/>
                <w:sz w:val="10"/>
                <w:szCs w:val="10"/>
              </w:rPr>
              <w:t xml:space="preserve"> </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75+</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70-74</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65-69</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60-64</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55-59</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50-54</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45-49</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40-44</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35-39</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30-34</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25-29</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20-24</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15-19</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10-14</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5-9</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000000" w:fill="EEECE1"/>
            <w:noWrap/>
            <w:vAlign w:val="bottom"/>
            <w:hideMark/>
          </w:tcPr>
          <w:p w:rsidR="00665417" w:rsidRPr="00665417" w:rsidRDefault="006F53D8" w:rsidP="00665417">
            <w:pPr>
              <w:spacing w:line="240" w:lineRule="auto"/>
              <w:jc w:val="center"/>
              <w:rPr>
                <w:rFonts w:ascii="Arial" w:eastAsia="Times New Roman" w:hAnsi="Arial" w:cs="Arial"/>
                <w:sz w:val="18"/>
                <w:szCs w:val="14"/>
              </w:rPr>
            </w:pPr>
            <w:r>
              <w:rPr>
                <w:rFonts w:ascii="Arial" w:eastAsia="Times New Roman" w:hAnsi="Arial" w:cs="Arial"/>
                <w:sz w:val="18"/>
                <w:szCs w:val="14"/>
              </w:rPr>
              <w:t xml:space="preserve">                                                      </w:t>
            </w:r>
            <w:r w:rsidR="00665417" w:rsidRPr="00665417">
              <w:rPr>
                <w:rFonts w:ascii="Arial" w:eastAsia="Times New Roman" w:hAnsi="Arial" w:cs="Arial"/>
                <w:sz w:val="18"/>
                <w:szCs w:val="14"/>
              </w:rPr>
              <w:t>0-4</w:t>
            </w: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r w:rsidR="00665417" w:rsidRPr="00665417" w:rsidTr="00DB00C1">
        <w:trPr>
          <w:trHeight w:val="255"/>
        </w:trPr>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90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4816" w:type="dxa"/>
            <w:tcBorders>
              <w:top w:val="nil"/>
              <w:left w:val="nil"/>
              <w:bottom w:val="nil"/>
              <w:right w:val="nil"/>
            </w:tcBorders>
            <w:shd w:val="clear" w:color="auto" w:fill="auto"/>
            <w:noWrap/>
            <w:vAlign w:val="bottom"/>
            <w:hideMark/>
          </w:tcPr>
          <w:p w:rsidR="00665417" w:rsidRPr="00665417" w:rsidRDefault="00665417" w:rsidP="00665417">
            <w:pPr>
              <w:spacing w:line="240" w:lineRule="auto"/>
              <w:rPr>
                <w:rFonts w:ascii="Arial" w:eastAsia="Times New Roman" w:hAnsi="Arial" w:cs="Arial"/>
                <w:sz w:val="20"/>
                <w:szCs w:val="20"/>
              </w:rPr>
            </w:pPr>
          </w:p>
        </w:tc>
        <w:tc>
          <w:tcPr>
            <w:tcW w:w="3360" w:type="dxa"/>
            <w:gridSpan w:val="4"/>
            <w:vMerge/>
            <w:tcBorders>
              <w:top w:val="nil"/>
              <w:left w:val="nil"/>
              <w:bottom w:val="nil"/>
              <w:right w:val="nil"/>
            </w:tcBorders>
            <w:vAlign w:val="center"/>
            <w:hideMark/>
          </w:tcPr>
          <w:p w:rsidR="00665417" w:rsidRPr="00665417" w:rsidRDefault="00665417" w:rsidP="00665417">
            <w:pPr>
              <w:spacing w:line="240" w:lineRule="auto"/>
              <w:rPr>
                <w:rFonts w:ascii="Arial" w:eastAsia="Times New Roman" w:hAnsi="Arial" w:cs="Arial"/>
                <w:sz w:val="20"/>
                <w:szCs w:val="20"/>
              </w:rPr>
            </w:pPr>
          </w:p>
        </w:tc>
      </w:tr>
    </w:tbl>
    <w:p w:rsidR="00DB00C1" w:rsidRPr="00DB00C1" w:rsidRDefault="00DB00C1" w:rsidP="00E65C0C">
      <w:pPr>
        <w:pStyle w:val="Default"/>
      </w:pPr>
      <w:r w:rsidRPr="00DB00C1">
        <w:t>Source: Based on [5]</w:t>
      </w:r>
    </w:p>
    <w:p w:rsidR="00DB00C1" w:rsidRDefault="00DB00C1" w:rsidP="00E65C0C">
      <w:pPr>
        <w:pStyle w:val="Default"/>
        <w:rPr>
          <w:b/>
          <w:sz w:val="28"/>
        </w:rPr>
      </w:pPr>
    </w:p>
    <w:p w:rsidR="00DB00C1" w:rsidRDefault="00DB00C1" w:rsidP="00E65C0C">
      <w:pPr>
        <w:pStyle w:val="Default"/>
        <w:rPr>
          <w:b/>
          <w:sz w:val="28"/>
        </w:rPr>
      </w:pPr>
    </w:p>
    <w:p w:rsidR="00E65C0C" w:rsidRPr="006910DC" w:rsidRDefault="00E65C0C" w:rsidP="00E65C0C">
      <w:pPr>
        <w:pStyle w:val="Default"/>
        <w:rPr>
          <w:b/>
          <w:sz w:val="28"/>
        </w:rPr>
      </w:pPr>
      <w:r w:rsidRPr="006910DC">
        <w:rPr>
          <w:b/>
          <w:sz w:val="28"/>
        </w:rPr>
        <w:t>Ethnic composition</w:t>
      </w:r>
    </w:p>
    <w:p w:rsidR="00E65C0C" w:rsidRDefault="00E65C0C" w:rsidP="00E65C0C">
      <w:pPr>
        <w:pStyle w:val="Default"/>
      </w:pPr>
    </w:p>
    <w:p w:rsidR="00E65C0C" w:rsidRDefault="00E65C0C" w:rsidP="00E65C0C">
      <w:pPr>
        <w:pStyle w:val="Default"/>
      </w:pPr>
    </w:p>
    <w:p w:rsidR="00E65C0C" w:rsidRDefault="00E65C0C" w:rsidP="00F91ADF">
      <w:pPr>
        <w:pStyle w:val="Default"/>
        <w:jc w:val="both"/>
      </w:pPr>
      <w:r>
        <w:t>Figure 6 shown the ethnic composition of the Harari Region at the time of the 1984, 1994, and 2007 censuses. It also reveals the impacts of decades of internal migration</w:t>
      </w:r>
      <w:r w:rsidR="00F51176">
        <w:t>s (in-migration of outsides groups) that have progressively shrunk the percentage of the Harari ethnic group</w:t>
      </w:r>
      <w:r>
        <w:t xml:space="preserve">. The Amhara and Oromo are </w:t>
      </w:r>
      <w:r w:rsidR="00F51176">
        <w:t xml:space="preserve">now </w:t>
      </w:r>
      <w:r>
        <w:t>the largest and second largest group due mainly to in-migration during the last 12 decades. Some have made the political argument that</w:t>
      </w:r>
      <w:r w:rsidR="00720DFA">
        <w:t xml:space="preserve"> this</w:t>
      </w:r>
      <w:r>
        <w:t xml:space="preserve"> </w:t>
      </w:r>
      <w:r w:rsidR="00720DFA">
        <w:t xml:space="preserve">amounted to ethnic </w:t>
      </w:r>
      <w:r w:rsidR="009D22A1">
        <w:t>subjugation</w:t>
      </w:r>
      <w:r w:rsidR="00720DFA">
        <w:t xml:space="preserve"> of the native group – the Harari </w:t>
      </w:r>
      <w:r w:rsidR="005A1680">
        <w:t xml:space="preserve">(known to the rest of Ethiopians as Adere) </w:t>
      </w:r>
      <w:r w:rsidR="00720DFA">
        <w:t>– but others have argued that the Harari also derived benefits in terms of the purchasing power newcomers provided to ethnic</w:t>
      </w:r>
      <w:r w:rsidR="009D22A1">
        <w:t xml:space="preserve"> Harari</w:t>
      </w:r>
      <w:r w:rsidR="00201880">
        <w:t xml:space="preserve"> (</w:t>
      </w:r>
      <w:r w:rsidR="009D22A1" w:rsidRPr="009D22A1">
        <w:rPr>
          <w:i/>
        </w:rPr>
        <w:t>Ge Usu</w:t>
      </w:r>
      <w:r w:rsidR="00201880">
        <w:rPr>
          <w:i/>
        </w:rPr>
        <w:t>)</w:t>
      </w:r>
      <w:r w:rsidR="009D22A1">
        <w:t xml:space="preserve"> </w:t>
      </w:r>
      <w:r w:rsidR="00720DFA">
        <w:t>merchant</w:t>
      </w:r>
      <w:r w:rsidR="009D22A1">
        <w:t>s</w:t>
      </w:r>
      <w:r w:rsidR="00720DFA">
        <w:t xml:space="preserve"> and the in</w:t>
      </w:r>
      <w:r w:rsidR="00201880">
        <w:t xml:space="preserve">creased modernization and </w:t>
      </w:r>
      <w:r w:rsidR="00720DFA">
        <w:t xml:space="preserve">productivity in the region brought about by the supply of adequate labor and new talent. </w:t>
      </w:r>
      <w:r w:rsidR="006B5A47">
        <w:t xml:space="preserve">Moreover, the Harari </w:t>
      </w:r>
      <w:r w:rsidR="00047253">
        <w:t>(</w:t>
      </w:r>
      <w:r w:rsidR="00047253" w:rsidRPr="00047253">
        <w:rPr>
          <w:i/>
        </w:rPr>
        <w:t>Ge Usu</w:t>
      </w:r>
      <w:r w:rsidR="00047253">
        <w:t xml:space="preserve">) </w:t>
      </w:r>
      <w:r w:rsidR="006B5A47">
        <w:t xml:space="preserve">have been accorded important veto powers </w:t>
      </w:r>
      <w:r w:rsidR="00047253">
        <w:t xml:space="preserve">inside of city walls </w:t>
      </w:r>
      <w:r w:rsidR="006B5A47">
        <w:t>during the reorganization of the local government in the mid 1990s</w:t>
      </w:r>
      <w:r w:rsidR="00047253">
        <w:t>,</w:t>
      </w:r>
      <w:r w:rsidR="006B5A47">
        <w:t xml:space="preserve"> and they continue to exercise these powers</w:t>
      </w:r>
      <w:r w:rsidR="0073629D">
        <w:t xml:space="preserve"> [2]</w:t>
      </w:r>
      <w:r w:rsidR="006B5A47">
        <w:t>.</w:t>
      </w:r>
      <w:r w:rsidR="00720DFA">
        <w:t xml:space="preserve"> </w:t>
      </w:r>
      <w:r>
        <w:t xml:space="preserve">  </w:t>
      </w:r>
      <w:r w:rsidR="00340D3E">
        <w:t>The Harari number just under 1</w:t>
      </w:r>
      <w:r w:rsidR="00A44873">
        <w:t>6</w:t>
      </w:r>
      <w:r w:rsidR="00340D3E">
        <w:t xml:space="preserve">,000 in Harari Region, and over </w:t>
      </w:r>
      <w:r w:rsidR="00A44873">
        <w:t>3</w:t>
      </w:r>
      <w:r w:rsidR="00340D3E">
        <w:t>0,000 nationally [3]</w:t>
      </w:r>
      <w:r w:rsidR="00F91ADF">
        <w:t>.</w:t>
      </w:r>
      <w:r w:rsidR="005A1680">
        <w:t xml:space="preserve"> </w:t>
      </w:r>
      <w:r w:rsidR="00CA3EE3">
        <w:t xml:space="preserve"> </w:t>
      </w:r>
    </w:p>
    <w:p w:rsidR="006E1D62" w:rsidRDefault="006E1D62" w:rsidP="00F91ADF">
      <w:pPr>
        <w:pStyle w:val="Default"/>
        <w:jc w:val="both"/>
      </w:pPr>
    </w:p>
    <w:p w:rsidR="006E1D62" w:rsidRDefault="006E1D62" w:rsidP="00F91ADF">
      <w:pPr>
        <w:pStyle w:val="Default"/>
        <w:jc w:val="both"/>
      </w:pPr>
    </w:p>
    <w:p w:rsidR="00E65C0C" w:rsidRDefault="00E65C0C" w:rsidP="00A64620">
      <w:pPr>
        <w:pStyle w:val="Default"/>
        <w:ind w:firstLine="720"/>
      </w:pPr>
    </w:p>
    <w:p w:rsidR="00A64620" w:rsidRDefault="00A64620" w:rsidP="00A64620">
      <w:pPr>
        <w:pStyle w:val="Default"/>
        <w:ind w:firstLine="720"/>
      </w:pPr>
    </w:p>
    <w:p w:rsidR="00CA3EE3" w:rsidRDefault="00CA3EE3" w:rsidP="00A64620">
      <w:pPr>
        <w:pStyle w:val="Default"/>
        <w:ind w:firstLine="720"/>
      </w:pPr>
    </w:p>
    <w:p w:rsidR="00A77613" w:rsidRDefault="00A77613" w:rsidP="00A64620">
      <w:pPr>
        <w:pStyle w:val="Default"/>
        <w:ind w:firstLine="720"/>
      </w:pPr>
      <w:r>
        <w:lastRenderedPageBreak/>
        <w:t>Source: Based on [3]</w:t>
      </w:r>
      <w:r w:rsidR="00CA3EE3" w:rsidRPr="00CA3EE3">
        <w:rPr>
          <w:noProof/>
        </w:rPr>
        <w:t xml:space="preserve"> </w:t>
      </w:r>
      <w:r w:rsidR="00CA3EE3" w:rsidRPr="00A77613">
        <w:rPr>
          <w:noProof/>
        </w:rPr>
        <w:drawing>
          <wp:inline distT="0" distB="0" distL="0" distR="0">
            <wp:extent cx="6076950" cy="3857625"/>
            <wp:effectExtent l="19050" t="0" r="190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7613" w:rsidRDefault="00A77613" w:rsidP="00A64620">
      <w:pPr>
        <w:pStyle w:val="Default"/>
        <w:ind w:firstLine="720"/>
      </w:pPr>
    </w:p>
    <w:p w:rsidR="00A77613" w:rsidRDefault="00A77613" w:rsidP="00A64620">
      <w:pPr>
        <w:pStyle w:val="Default"/>
        <w:ind w:firstLine="720"/>
        <w:rPr>
          <w:rFonts w:ascii="Times" w:hAnsi="Times"/>
        </w:rPr>
      </w:pPr>
    </w:p>
    <w:p w:rsidR="00E65C0C" w:rsidRDefault="00E65C0C" w:rsidP="00A64620">
      <w:pPr>
        <w:pStyle w:val="Default"/>
        <w:ind w:firstLine="720"/>
        <w:rPr>
          <w:rFonts w:ascii="Times" w:hAnsi="Times"/>
        </w:rPr>
      </w:pPr>
    </w:p>
    <w:p w:rsidR="00E65C0C" w:rsidRDefault="00E65C0C" w:rsidP="00A64620">
      <w:pPr>
        <w:pStyle w:val="Default"/>
        <w:ind w:firstLine="720"/>
        <w:rPr>
          <w:rFonts w:ascii="Times" w:hAnsi="Times"/>
        </w:rPr>
      </w:pPr>
    </w:p>
    <w:p w:rsidR="00337E7D" w:rsidRDefault="00337E7D" w:rsidP="00337E7D">
      <w:pPr>
        <w:pStyle w:val="Default"/>
        <w:rPr>
          <w:rFonts w:ascii="Times" w:hAnsi="Times"/>
        </w:rPr>
      </w:pPr>
    </w:p>
    <w:p w:rsidR="00CC3D5F" w:rsidRDefault="00CC3D5F" w:rsidP="00337E7D">
      <w:pPr>
        <w:pStyle w:val="Default"/>
        <w:rPr>
          <w:rFonts w:ascii="Times" w:hAnsi="Times"/>
          <w:b/>
          <w:sz w:val="28"/>
        </w:rPr>
      </w:pPr>
      <w:r w:rsidRPr="00CC3D5F">
        <w:rPr>
          <w:rFonts w:ascii="Times" w:hAnsi="Times"/>
          <w:b/>
          <w:sz w:val="28"/>
        </w:rPr>
        <w:t>Demographic Characteristics</w:t>
      </w:r>
    </w:p>
    <w:p w:rsidR="00337E7D" w:rsidRDefault="00337E7D" w:rsidP="00337E7D">
      <w:pPr>
        <w:pStyle w:val="Default"/>
        <w:rPr>
          <w:rFonts w:ascii="Times" w:hAnsi="Times"/>
          <w:b/>
          <w:sz w:val="28"/>
        </w:rPr>
      </w:pPr>
    </w:p>
    <w:p w:rsidR="00337E7D" w:rsidRDefault="00337E7D" w:rsidP="00337E7D">
      <w:pPr>
        <w:pStyle w:val="Default"/>
        <w:rPr>
          <w:rFonts w:ascii="Times" w:hAnsi="Times"/>
          <w:b/>
          <w:color w:val="0000CC"/>
          <w:sz w:val="22"/>
        </w:rPr>
      </w:pPr>
      <w:r w:rsidRPr="00337E7D">
        <w:rPr>
          <w:rFonts w:ascii="Times" w:hAnsi="Times"/>
          <w:b/>
          <w:color w:val="0000CC"/>
        </w:rPr>
        <w:t>Marital Character</w:t>
      </w:r>
      <w:r w:rsidRPr="00337E7D">
        <w:rPr>
          <w:rFonts w:ascii="Times" w:hAnsi="Times"/>
          <w:b/>
          <w:color w:val="0000CC"/>
          <w:sz w:val="22"/>
        </w:rPr>
        <w:t>istics</w:t>
      </w:r>
    </w:p>
    <w:p w:rsidR="009928BA" w:rsidRPr="009928BA" w:rsidRDefault="009928BA" w:rsidP="00337E7D">
      <w:pPr>
        <w:pStyle w:val="Default"/>
        <w:rPr>
          <w:rFonts w:ascii="Times" w:hAnsi="Times"/>
          <w:color w:val="auto"/>
          <w:sz w:val="22"/>
        </w:rPr>
      </w:pPr>
    </w:p>
    <w:p w:rsidR="009928BA" w:rsidRPr="009928BA" w:rsidRDefault="009928BA" w:rsidP="00DB00C1">
      <w:pPr>
        <w:pStyle w:val="Default"/>
        <w:jc w:val="both"/>
        <w:rPr>
          <w:rFonts w:ascii="Times" w:hAnsi="Times"/>
          <w:color w:val="auto"/>
          <w:sz w:val="22"/>
        </w:rPr>
      </w:pPr>
      <w:r>
        <w:rPr>
          <w:rFonts w:ascii="Times" w:hAnsi="Times"/>
          <w:color w:val="auto"/>
          <w:sz w:val="22"/>
        </w:rPr>
        <w:t xml:space="preserve">Just over 60% </w:t>
      </w:r>
      <w:r w:rsidR="006F2E7C">
        <w:rPr>
          <w:rFonts w:ascii="Times" w:hAnsi="Times"/>
          <w:color w:val="auto"/>
          <w:sz w:val="22"/>
        </w:rPr>
        <w:t>of urban</w:t>
      </w:r>
      <w:r w:rsidR="00AC4FA3">
        <w:rPr>
          <w:rFonts w:ascii="Times" w:hAnsi="Times"/>
          <w:color w:val="auto"/>
          <w:sz w:val="22"/>
        </w:rPr>
        <w:t xml:space="preserve"> females in </w:t>
      </w:r>
      <w:r w:rsidR="005E36C5">
        <w:rPr>
          <w:rFonts w:ascii="Times" w:hAnsi="Times"/>
          <w:color w:val="auto"/>
          <w:sz w:val="22"/>
        </w:rPr>
        <w:t xml:space="preserve">Harari’ </w:t>
      </w:r>
      <w:r w:rsidR="00A15A02">
        <w:rPr>
          <w:rFonts w:ascii="Times" w:hAnsi="Times"/>
          <w:color w:val="auto"/>
          <w:sz w:val="22"/>
        </w:rPr>
        <w:t>Region</w:t>
      </w:r>
      <w:r w:rsidR="00BD257C">
        <w:rPr>
          <w:rFonts w:ascii="Times" w:hAnsi="Times"/>
          <w:color w:val="auto"/>
          <w:sz w:val="22"/>
        </w:rPr>
        <w:t xml:space="preserve"> </w:t>
      </w:r>
      <w:r>
        <w:rPr>
          <w:rFonts w:ascii="Times" w:hAnsi="Times"/>
          <w:color w:val="auto"/>
          <w:sz w:val="22"/>
        </w:rPr>
        <w:t xml:space="preserve"> </w:t>
      </w:r>
      <w:r w:rsidR="006F2E7C">
        <w:rPr>
          <w:rFonts w:ascii="Times" w:hAnsi="Times"/>
          <w:color w:val="auto"/>
          <w:sz w:val="22"/>
        </w:rPr>
        <w:t>aged</w:t>
      </w:r>
      <w:r>
        <w:rPr>
          <w:rFonts w:ascii="Times" w:hAnsi="Times"/>
          <w:color w:val="auto"/>
          <w:sz w:val="22"/>
        </w:rPr>
        <w:t xml:space="preserve"> 25-34 </w:t>
      </w:r>
      <w:r w:rsidR="006F2E7C">
        <w:rPr>
          <w:rFonts w:ascii="Times" w:hAnsi="Times"/>
          <w:color w:val="auto"/>
          <w:sz w:val="22"/>
        </w:rPr>
        <w:t xml:space="preserve">years </w:t>
      </w:r>
      <w:r>
        <w:rPr>
          <w:rFonts w:ascii="Times" w:hAnsi="Times"/>
          <w:color w:val="auto"/>
          <w:sz w:val="22"/>
        </w:rPr>
        <w:t xml:space="preserve"> (the peak years of reproduction) were married at the time of the 2007</w:t>
      </w:r>
      <w:r w:rsidR="005E36C5">
        <w:rPr>
          <w:rFonts w:ascii="Times" w:hAnsi="Times"/>
          <w:color w:val="auto"/>
          <w:sz w:val="22"/>
        </w:rPr>
        <w:t xml:space="preserve"> census</w:t>
      </w:r>
      <w:r>
        <w:rPr>
          <w:rFonts w:ascii="Times" w:hAnsi="Times"/>
          <w:color w:val="auto"/>
          <w:sz w:val="22"/>
        </w:rPr>
        <w:t xml:space="preserve">. The highest </w:t>
      </w:r>
      <w:r w:rsidR="006C7C8B">
        <w:rPr>
          <w:rFonts w:ascii="Times" w:hAnsi="Times"/>
          <w:color w:val="auto"/>
          <w:sz w:val="22"/>
        </w:rPr>
        <w:t xml:space="preserve">urban </w:t>
      </w:r>
      <w:r w:rsidR="0099481D">
        <w:rPr>
          <w:rFonts w:ascii="Times" w:hAnsi="Times"/>
          <w:color w:val="auto"/>
          <w:sz w:val="22"/>
        </w:rPr>
        <w:t xml:space="preserve">percentage (67.7) </w:t>
      </w:r>
      <w:r w:rsidR="00A15A02">
        <w:rPr>
          <w:rFonts w:ascii="Times" w:hAnsi="Times"/>
          <w:color w:val="auto"/>
          <w:sz w:val="22"/>
        </w:rPr>
        <w:t xml:space="preserve">was noted for </w:t>
      </w:r>
      <w:r w:rsidR="006C7C8B">
        <w:rPr>
          <w:rFonts w:ascii="Times" w:hAnsi="Times"/>
          <w:color w:val="auto"/>
          <w:sz w:val="22"/>
        </w:rPr>
        <w:t>females</w:t>
      </w:r>
      <w:r w:rsidR="00A15A02">
        <w:rPr>
          <w:rFonts w:ascii="Times" w:hAnsi="Times"/>
          <w:color w:val="auto"/>
          <w:sz w:val="22"/>
        </w:rPr>
        <w:t xml:space="preserve"> in</w:t>
      </w:r>
      <w:r w:rsidR="0099481D">
        <w:rPr>
          <w:rFonts w:ascii="Times" w:hAnsi="Times"/>
          <w:color w:val="auto"/>
          <w:sz w:val="22"/>
        </w:rPr>
        <w:t xml:space="preserve"> the 35-39 age group</w:t>
      </w:r>
      <w:r w:rsidR="00A15A02">
        <w:rPr>
          <w:rFonts w:ascii="Times" w:hAnsi="Times"/>
          <w:color w:val="auto"/>
          <w:sz w:val="22"/>
        </w:rPr>
        <w:t>,</w:t>
      </w:r>
      <w:r w:rsidR="0099481D">
        <w:rPr>
          <w:rFonts w:ascii="Times" w:hAnsi="Times"/>
          <w:color w:val="auto"/>
          <w:sz w:val="22"/>
        </w:rPr>
        <w:t xml:space="preserve"> suggesting that only two-thirds of urban Harari women </w:t>
      </w:r>
      <w:r w:rsidR="00AC4FA3">
        <w:rPr>
          <w:rFonts w:ascii="Times" w:hAnsi="Times"/>
          <w:color w:val="auto"/>
          <w:sz w:val="22"/>
        </w:rPr>
        <w:t>were</w:t>
      </w:r>
      <w:r w:rsidR="0099481D">
        <w:rPr>
          <w:rFonts w:ascii="Times" w:hAnsi="Times"/>
          <w:color w:val="auto"/>
          <w:sz w:val="22"/>
        </w:rPr>
        <w:t xml:space="preserve"> married even at </w:t>
      </w:r>
      <w:r w:rsidR="00AC4FA3">
        <w:rPr>
          <w:rFonts w:ascii="Times" w:hAnsi="Times"/>
          <w:color w:val="auto"/>
          <w:sz w:val="22"/>
        </w:rPr>
        <w:t>these (</w:t>
      </w:r>
      <w:r w:rsidR="0099481D">
        <w:rPr>
          <w:rFonts w:ascii="Times" w:hAnsi="Times"/>
          <w:color w:val="auto"/>
          <w:sz w:val="22"/>
        </w:rPr>
        <w:t xml:space="preserve">peak </w:t>
      </w:r>
      <w:r w:rsidR="00AC4FA3">
        <w:rPr>
          <w:rFonts w:ascii="Times" w:hAnsi="Times"/>
          <w:color w:val="auto"/>
          <w:sz w:val="22"/>
        </w:rPr>
        <w:t>) urban marital ages</w:t>
      </w:r>
      <w:r w:rsidR="0099481D">
        <w:rPr>
          <w:rFonts w:ascii="Times" w:hAnsi="Times"/>
          <w:color w:val="auto"/>
          <w:sz w:val="22"/>
        </w:rPr>
        <w:t xml:space="preserve">. </w:t>
      </w:r>
      <w:r w:rsidR="00A40C7B">
        <w:rPr>
          <w:rFonts w:ascii="Times" w:hAnsi="Times"/>
          <w:color w:val="auto"/>
          <w:sz w:val="22"/>
        </w:rPr>
        <w:t xml:space="preserve">The picture is very different for rural women. </w:t>
      </w:r>
      <w:r w:rsidR="001C458B">
        <w:rPr>
          <w:rFonts w:ascii="Times" w:hAnsi="Times"/>
          <w:color w:val="auto"/>
          <w:sz w:val="22"/>
        </w:rPr>
        <w:t>For starters, three time as high a percentage</w:t>
      </w:r>
      <w:r w:rsidR="00DB0C45">
        <w:rPr>
          <w:rFonts w:ascii="Times" w:hAnsi="Times"/>
          <w:color w:val="auto"/>
          <w:sz w:val="22"/>
        </w:rPr>
        <w:t xml:space="preserve"> of rural 15-19-year-</w:t>
      </w:r>
      <w:r w:rsidR="001C458B">
        <w:rPr>
          <w:rFonts w:ascii="Times" w:hAnsi="Times"/>
          <w:color w:val="auto"/>
          <w:sz w:val="22"/>
        </w:rPr>
        <w:t>old females (48.9</w:t>
      </w:r>
      <w:r w:rsidR="00AC4FA3">
        <w:rPr>
          <w:rFonts w:ascii="Times" w:hAnsi="Times"/>
          <w:color w:val="auto"/>
          <w:sz w:val="22"/>
        </w:rPr>
        <w:t>%</w:t>
      </w:r>
      <w:r w:rsidR="001C458B">
        <w:rPr>
          <w:rFonts w:ascii="Times" w:hAnsi="Times"/>
          <w:color w:val="auto"/>
          <w:sz w:val="22"/>
        </w:rPr>
        <w:t>) as urban females i</w:t>
      </w:r>
      <w:r w:rsidR="00A15A02">
        <w:rPr>
          <w:rFonts w:ascii="Times" w:hAnsi="Times"/>
          <w:color w:val="auto"/>
          <w:sz w:val="22"/>
        </w:rPr>
        <w:t>n the same age group (15.4</w:t>
      </w:r>
      <w:r w:rsidR="00AC4FA3">
        <w:rPr>
          <w:rFonts w:ascii="Times" w:hAnsi="Times"/>
          <w:color w:val="auto"/>
          <w:sz w:val="22"/>
        </w:rPr>
        <w:t>%</w:t>
      </w:r>
      <w:r w:rsidR="00A15A02">
        <w:rPr>
          <w:rFonts w:ascii="Times" w:hAnsi="Times"/>
          <w:color w:val="auto"/>
          <w:sz w:val="22"/>
        </w:rPr>
        <w:t xml:space="preserve">) were </w:t>
      </w:r>
      <w:r w:rsidR="001C458B">
        <w:rPr>
          <w:rFonts w:ascii="Times" w:hAnsi="Times"/>
          <w:color w:val="auto"/>
          <w:sz w:val="22"/>
        </w:rPr>
        <w:t>married</w:t>
      </w:r>
      <w:r w:rsidR="00A15A02">
        <w:rPr>
          <w:rFonts w:ascii="Times" w:hAnsi="Times"/>
          <w:color w:val="auto"/>
          <w:sz w:val="22"/>
        </w:rPr>
        <w:t xml:space="preserve"> at the time of the 2007 census</w:t>
      </w:r>
      <w:r w:rsidR="001C458B">
        <w:rPr>
          <w:rFonts w:ascii="Times" w:hAnsi="Times"/>
          <w:color w:val="auto"/>
          <w:sz w:val="22"/>
        </w:rPr>
        <w:t>.</w:t>
      </w:r>
      <w:r w:rsidR="00BB680E">
        <w:rPr>
          <w:rFonts w:ascii="Times" w:hAnsi="Times"/>
          <w:color w:val="auto"/>
          <w:sz w:val="22"/>
        </w:rPr>
        <w:t xml:space="preserve"> This is the highest percentage difference by age, and reveals the possible contribution</w:t>
      </w:r>
      <w:r w:rsidR="00EA0534">
        <w:rPr>
          <w:rFonts w:ascii="Times" w:hAnsi="Times"/>
          <w:color w:val="auto"/>
          <w:sz w:val="22"/>
        </w:rPr>
        <w:t>s</w:t>
      </w:r>
      <w:r w:rsidR="00BB680E">
        <w:rPr>
          <w:rFonts w:ascii="Times" w:hAnsi="Times"/>
          <w:color w:val="auto"/>
          <w:sz w:val="22"/>
        </w:rPr>
        <w:t xml:space="preserve"> of early marriages to urban-rural fertility differentials. Another difference is the near universality of marriage for the rural groups </w:t>
      </w:r>
      <w:r w:rsidR="00A15A02">
        <w:rPr>
          <w:rFonts w:ascii="Times" w:hAnsi="Times"/>
          <w:color w:val="auto"/>
          <w:sz w:val="22"/>
        </w:rPr>
        <w:t xml:space="preserve">in the </w:t>
      </w:r>
      <w:r w:rsidR="00BB680E">
        <w:rPr>
          <w:rFonts w:ascii="Times" w:hAnsi="Times"/>
          <w:color w:val="auto"/>
          <w:sz w:val="22"/>
        </w:rPr>
        <w:t xml:space="preserve">20-40 </w:t>
      </w:r>
      <w:r w:rsidR="00A15A02">
        <w:rPr>
          <w:rFonts w:ascii="Times" w:hAnsi="Times"/>
          <w:color w:val="auto"/>
          <w:sz w:val="22"/>
        </w:rPr>
        <w:t xml:space="preserve">age range </w:t>
      </w:r>
      <w:r w:rsidR="00BB680E">
        <w:rPr>
          <w:rFonts w:ascii="Times" w:hAnsi="Times"/>
          <w:color w:val="auto"/>
          <w:sz w:val="22"/>
        </w:rPr>
        <w:t xml:space="preserve">where the proportions married rise above 90 percent. The smallest percentage differences are between urban and rural women in the oldest </w:t>
      </w:r>
      <w:r w:rsidR="00A15A02">
        <w:rPr>
          <w:rFonts w:ascii="Times" w:hAnsi="Times"/>
          <w:color w:val="auto"/>
          <w:sz w:val="22"/>
        </w:rPr>
        <w:t>(45-49) age group</w:t>
      </w:r>
      <w:r w:rsidR="00BB680E">
        <w:rPr>
          <w:rFonts w:ascii="Times" w:hAnsi="Times"/>
          <w:color w:val="auto"/>
          <w:sz w:val="22"/>
        </w:rPr>
        <w:t xml:space="preserve">. </w:t>
      </w:r>
    </w:p>
    <w:p w:rsidR="00CC3D5F" w:rsidRDefault="00CC3D5F" w:rsidP="00A64620">
      <w:pPr>
        <w:pStyle w:val="Default"/>
        <w:ind w:firstLine="720"/>
        <w:rPr>
          <w:rFonts w:ascii="Times" w:hAnsi="Times"/>
          <w:b/>
          <w:sz w:val="28"/>
        </w:rPr>
      </w:pPr>
    </w:p>
    <w:p w:rsidR="003D0A81" w:rsidRDefault="003D0A81" w:rsidP="00A64620">
      <w:pPr>
        <w:pStyle w:val="Default"/>
        <w:ind w:firstLine="720"/>
        <w:rPr>
          <w:rFonts w:ascii="Times" w:hAnsi="Times"/>
          <w:b/>
          <w:sz w:val="28"/>
        </w:rPr>
      </w:pPr>
    </w:p>
    <w:p w:rsidR="00CC3D5F" w:rsidRPr="003D0A81" w:rsidRDefault="003C63F3" w:rsidP="00A64620">
      <w:pPr>
        <w:pStyle w:val="Default"/>
        <w:ind w:firstLine="720"/>
        <w:rPr>
          <w:rFonts w:ascii="Times" w:hAnsi="Times"/>
          <w:sz w:val="28"/>
        </w:rPr>
      </w:pPr>
      <w:r>
        <w:rPr>
          <w:rFonts w:ascii="Times" w:hAnsi="Times"/>
          <w:sz w:val="28"/>
        </w:rPr>
        <w:t xml:space="preserve">                              </w:t>
      </w:r>
    </w:p>
    <w:p w:rsidR="00CC3D5F" w:rsidRPr="00CC3D5F" w:rsidRDefault="0099481D" w:rsidP="00A64620">
      <w:pPr>
        <w:pStyle w:val="Default"/>
        <w:ind w:firstLine="720"/>
        <w:rPr>
          <w:rFonts w:ascii="Times" w:hAnsi="Times"/>
        </w:rPr>
      </w:pPr>
      <w:r>
        <w:rPr>
          <w:rFonts w:ascii="Times" w:hAnsi="Times"/>
        </w:rPr>
        <w:t xml:space="preserve">                                      </w:t>
      </w:r>
      <w:r w:rsidRPr="0099481D">
        <w:rPr>
          <w:rFonts w:ascii="Times" w:hAnsi="Times"/>
          <w:noProof/>
        </w:rPr>
        <w:drawing>
          <wp:inline distT="0" distB="0" distL="0" distR="0">
            <wp:extent cx="5819776" cy="4191001"/>
            <wp:effectExtent l="19050" t="0" r="28574" b="0"/>
            <wp:docPr id="1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5C0C" w:rsidRDefault="00DB00C1" w:rsidP="00A64620">
      <w:pPr>
        <w:pStyle w:val="Default"/>
        <w:ind w:firstLine="720"/>
        <w:rPr>
          <w:rFonts w:ascii="Times" w:hAnsi="Times"/>
        </w:rPr>
      </w:pPr>
      <w:r>
        <w:rPr>
          <w:rFonts w:ascii="Times" w:hAnsi="Times"/>
        </w:rPr>
        <w:t>Source: Based on 5</w:t>
      </w:r>
    </w:p>
    <w:p w:rsidR="00E65C0C" w:rsidRDefault="00E65C0C" w:rsidP="00A64620">
      <w:pPr>
        <w:pStyle w:val="Default"/>
        <w:ind w:firstLine="720"/>
        <w:rPr>
          <w:rFonts w:ascii="Times" w:hAnsi="Times"/>
        </w:rPr>
      </w:pPr>
    </w:p>
    <w:p w:rsidR="00E65C0C" w:rsidRDefault="00E65C0C" w:rsidP="00A64620">
      <w:pPr>
        <w:pStyle w:val="Default"/>
        <w:ind w:firstLine="720"/>
        <w:rPr>
          <w:rFonts w:ascii="Times" w:hAnsi="Times"/>
        </w:rPr>
      </w:pPr>
    </w:p>
    <w:p w:rsidR="00196840" w:rsidRDefault="006D33A2" w:rsidP="00196840">
      <w:pPr>
        <w:pStyle w:val="Default"/>
        <w:rPr>
          <w:rFonts w:ascii="Times" w:hAnsi="Times"/>
          <w:b/>
          <w:color w:val="0000CC"/>
        </w:rPr>
      </w:pPr>
      <w:r>
        <w:rPr>
          <w:rFonts w:ascii="Times" w:hAnsi="Times"/>
          <w:b/>
          <w:color w:val="0000CC"/>
        </w:rPr>
        <w:t xml:space="preserve">Socio-Economic Characteristics, </w:t>
      </w:r>
      <w:r w:rsidR="00196840">
        <w:rPr>
          <w:rFonts w:ascii="Times" w:hAnsi="Times"/>
          <w:b/>
          <w:color w:val="0000CC"/>
        </w:rPr>
        <w:t>Fertility</w:t>
      </w:r>
      <w:r>
        <w:rPr>
          <w:rFonts w:ascii="Times" w:hAnsi="Times"/>
          <w:b/>
          <w:color w:val="0000CC"/>
        </w:rPr>
        <w:t>,</w:t>
      </w:r>
      <w:r w:rsidR="00196840">
        <w:rPr>
          <w:rFonts w:ascii="Times" w:hAnsi="Times"/>
          <w:b/>
          <w:color w:val="0000CC"/>
        </w:rPr>
        <w:t xml:space="preserve"> and family planning</w:t>
      </w:r>
    </w:p>
    <w:p w:rsidR="00196840" w:rsidRDefault="00196840" w:rsidP="00196840">
      <w:pPr>
        <w:pStyle w:val="Default"/>
        <w:rPr>
          <w:rFonts w:ascii="Times" w:hAnsi="Times"/>
          <w:b/>
          <w:color w:val="0000CC"/>
        </w:rPr>
      </w:pPr>
    </w:p>
    <w:p w:rsidR="00196840" w:rsidRDefault="00196840" w:rsidP="00196840">
      <w:pPr>
        <w:pStyle w:val="Default"/>
        <w:rPr>
          <w:rFonts w:ascii="Times" w:hAnsi="Times"/>
          <w:b/>
          <w:color w:val="0000CC"/>
        </w:rPr>
      </w:pPr>
    </w:p>
    <w:p w:rsidR="00196840" w:rsidRDefault="00196840" w:rsidP="00D86A71">
      <w:pPr>
        <w:pStyle w:val="Default"/>
        <w:jc w:val="both"/>
        <w:rPr>
          <w:rFonts w:ascii="Times" w:hAnsi="Times"/>
          <w:b/>
          <w:color w:val="0000CC"/>
        </w:rPr>
      </w:pPr>
    </w:p>
    <w:p w:rsidR="00196840" w:rsidRDefault="00F174AE" w:rsidP="00D86A71">
      <w:pPr>
        <w:pStyle w:val="Default"/>
        <w:jc w:val="both"/>
        <w:rPr>
          <w:rFonts w:ascii="Times" w:hAnsi="Times"/>
          <w:color w:val="auto"/>
        </w:rPr>
      </w:pPr>
      <w:r>
        <w:rPr>
          <w:rFonts w:ascii="Times" w:hAnsi="Times"/>
          <w:color w:val="auto"/>
        </w:rPr>
        <w:t xml:space="preserve">The </w:t>
      </w:r>
      <w:r w:rsidR="00EF4E11">
        <w:rPr>
          <w:rFonts w:ascii="Times" w:hAnsi="Times"/>
          <w:color w:val="auto"/>
        </w:rPr>
        <w:t>Harari Region’</w:t>
      </w:r>
      <w:r>
        <w:rPr>
          <w:rFonts w:ascii="Times" w:hAnsi="Times"/>
          <w:color w:val="auto"/>
        </w:rPr>
        <w:t xml:space="preserve">s </w:t>
      </w:r>
      <w:r w:rsidR="009D30AD">
        <w:rPr>
          <w:rFonts w:ascii="Times" w:hAnsi="Times"/>
          <w:color w:val="auto"/>
        </w:rPr>
        <w:t xml:space="preserve">2011 Demographic and Health Survey showed a high proportion of income earners in the “highest” </w:t>
      </w:r>
      <w:r w:rsidR="00EF4E11">
        <w:rPr>
          <w:rFonts w:ascii="Times" w:hAnsi="Times"/>
          <w:color w:val="auto"/>
        </w:rPr>
        <w:t xml:space="preserve">wealth category (60.1%) </w:t>
      </w:r>
      <w:r w:rsidR="009D30AD">
        <w:rPr>
          <w:rFonts w:ascii="Times" w:hAnsi="Times"/>
          <w:color w:val="auto"/>
        </w:rPr>
        <w:t xml:space="preserve">– the third highest proportion </w:t>
      </w:r>
      <w:r w:rsidR="00F55694">
        <w:rPr>
          <w:rFonts w:ascii="Times" w:hAnsi="Times"/>
          <w:color w:val="auto"/>
        </w:rPr>
        <w:t>after Addis Ababa and Dire Dawa [6].</w:t>
      </w:r>
      <w:r w:rsidR="009D30AD">
        <w:rPr>
          <w:rFonts w:ascii="Times" w:hAnsi="Times"/>
          <w:color w:val="auto"/>
        </w:rPr>
        <w:t xml:space="preserve"> </w:t>
      </w:r>
      <w:r w:rsidR="00D23F3B">
        <w:rPr>
          <w:rFonts w:ascii="Times" w:hAnsi="Times"/>
          <w:color w:val="auto"/>
        </w:rPr>
        <w:t>A higher proportion of chil</w:t>
      </w:r>
      <w:r w:rsidR="00052232">
        <w:rPr>
          <w:rFonts w:ascii="Times" w:hAnsi="Times"/>
          <w:color w:val="auto"/>
        </w:rPr>
        <w:t xml:space="preserve">dren in Harari (70.9%) </w:t>
      </w:r>
      <w:r w:rsidR="00D23F3B">
        <w:rPr>
          <w:rFonts w:ascii="Times" w:hAnsi="Times"/>
          <w:color w:val="auto"/>
        </w:rPr>
        <w:t>tha</w:t>
      </w:r>
      <w:r w:rsidR="00052232">
        <w:rPr>
          <w:rFonts w:ascii="Times" w:hAnsi="Times"/>
          <w:color w:val="auto"/>
        </w:rPr>
        <w:t xml:space="preserve">n in Addis Ababa or Dire Dawa </w:t>
      </w:r>
      <w:r w:rsidR="00D23F3B">
        <w:rPr>
          <w:rFonts w:ascii="Times" w:hAnsi="Times"/>
          <w:color w:val="auto"/>
        </w:rPr>
        <w:t>li</w:t>
      </w:r>
      <w:r w:rsidR="009D526C">
        <w:rPr>
          <w:rFonts w:ascii="Times" w:hAnsi="Times"/>
          <w:color w:val="auto"/>
        </w:rPr>
        <w:t>ve with their parents. This could be due to</w:t>
      </w:r>
      <w:r w:rsidR="00D23F3B">
        <w:rPr>
          <w:rFonts w:ascii="Times" w:hAnsi="Times"/>
          <w:color w:val="auto"/>
        </w:rPr>
        <w:t xml:space="preserve"> </w:t>
      </w:r>
      <w:r w:rsidR="007E2EA8">
        <w:rPr>
          <w:rFonts w:ascii="Times" w:hAnsi="Times"/>
          <w:color w:val="auto"/>
        </w:rPr>
        <w:t>the</w:t>
      </w:r>
      <w:r w:rsidR="00D23F3B">
        <w:rPr>
          <w:rFonts w:ascii="Times" w:hAnsi="Times"/>
          <w:color w:val="auto"/>
        </w:rPr>
        <w:t xml:space="preserve"> higher proportion of rural residents </w:t>
      </w:r>
      <w:r w:rsidR="0050729C">
        <w:rPr>
          <w:rFonts w:ascii="Times" w:hAnsi="Times"/>
          <w:color w:val="auto"/>
        </w:rPr>
        <w:t xml:space="preserve">in Harari Region </w:t>
      </w:r>
      <w:r w:rsidR="00D23F3B">
        <w:rPr>
          <w:rFonts w:ascii="Times" w:hAnsi="Times"/>
          <w:color w:val="auto"/>
        </w:rPr>
        <w:t xml:space="preserve">than </w:t>
      </w:r>
      <w:r w:rsidR="009D526C">
        <w:rPr>
          <w:rFonts w:ascii="Times" w:hAnsi="Times"/>
          <w:color w:val="auto"/>
        </w:rPr>
        <w:t xml:space="preserve">in Addis Ababa </w:t>
      </w:r>
      <w:r w:rsidR="0050729C">
        <w:rPr>
          <w:rFonts w:ascii="Times" w:hAnsi="Times"/>
          <w:color w:val="auto"/>
        </w:rPr>
        <w:t>or</w:t>
      </w:r>
      <w:r w:rsidR="009D526C">
        <w:rPr>
          <w:rFonts w:ascii="Times" w:hAnsi="Times"/>
          <w:color w:val="auto"/>
        </w:rPr>
        <w:t xml:space="preserve"> Dire Dawa</w:t>
      </w:r>
      <w:r w:rsidR="00D23F3B">
        <w:rPr>
          <w:rFonts w:ascii="Times" w:hAnsi="Times"/>
          <w:color w:val="auto"/>
        </w:rPr>
        <w:t>.</w:t>
      </w:r>
      <w:r w:rsidR="00F14CD9">
        <w:rPr>
          <w:rFonts w:ascii="Times" w:hAnsi="Times"/>
          <w:color w:val="auto"/>
        </w:rPr>
        <w:t xml:space="preserve"> A much higher proportion </w:t>
      </w:r>
      <w:r w:rsidR="009A4DE7">
        <w:rPr>
          <w:rFonts w:ascii="Times" w:hAnsi="Times"/>
          <w:color w:val="auto"/>
        </w:rPr>
        <w:t xml:space="preserve">of </w:t>
      </w:r>
      <w:r w:rsidR="00F14CD9">
        <w:rPr>
          <w:rFonts w:ascii="Times" w:hAnsi="Times"/>
          <w:color w:val="auto"/>
        </w:rPr>
        <w:t xml:space="preserve">Harari </w:t>
      </w:r>
      <w:r w:rsidR="009D526C">
        <w:rPr>
          <w:rFonts w:ascii="Times" w:hAnsi="Times"/>
          <w:color w:val="auto"/>
        </w:rPr>
        <w:t>Region</w:t>
      </w:r>
      <w:r w:rsidR="00207954">
        <w:rPr>
          <w:rFonts w:ascii="Times" w:hAnsi="Times"/>
          <w:color w:val="auto"/>
        </w:rPr>
        <w:t>’s</w:t>
      </w:r>
      <w:r w:rsidR="009D526C">
        <w:rPr>
          <w:rFonts w:ascii="Times" w:hAnsi="Times"/>
          <w:color w:val="auto"/>
        </w:rPr>
        <w:t xml:space="preserve"> </w:t>
      </w:r>
      <w:r w:rsidR="00F14CD9">
        <w:rPr>
          <w:rFonts w:ascii="Times" w:hAnsi="Times"/>
          <w:color w:val="auto"/>
        </w:rPr>
        <w:t xml:space="preserve">females (40,2%) than </w:t>
      </w:r>
      <w:r w:rsidR="009D526C">
        <w:rPr>
          <w:rFonts w:ascii="Times" w:hAnsi="Times"/>
          <w:color w:val="auto"/>
        </w:rPr>
        <w:t>Addis females</w:t>
      </w:r>
      <w:r w:rsidR="00F14CD9">
        <w:rPr>
          <w:rFonts w:ascii="Times" w:hAnsi="Times"/>
          <w:color w:val="auto"/>
        </w:rPr>
        <w:t xml:space="preserve"> (22.5%)  lack any form of education. This is slightly less than the proportion in </w:t>
      </w:r>
      <w:r w:rsidR="005A51CE">
        <w:rPr>
          <w:rFonts w:ascii="Times" w:hAnsi="Times"/>
          <w:color w:val="auto"/>
        </w:rPr>
        <w:t xml:space="preserve">the </w:t>
      </w:r>
      <w:r w:rsidR="00F14CD9">
        <w:rPr>
          <w:rFonts w:ascii="Times" w:hAnsi="Times"/>
          <w:color w:val="auto"/>
        </w:rPr>
        <w:t>neighboring Dire Dawa (43.1%).</w:t>
      </w:r>
      <w:r w:rsidR="00BC6CAF">
        <w:rPr>
          <w:rFonts w:ascii="Times" w:hAnsi="Times"/>
          <w:color w:val="auto"/>
        </w:rPr>
        <w:t xml:space="preserve"> Over a fifth of </w:t>
      </w:r>
      <w:r w:rsidR="00BC6CAF">
        <w:rPr>
          <w:rFonts w:ascii="Times" w:hAnsi="Times"/>
          <w:color w:val="auto"/>
        </w:rPr>
        <w:lastRenderedPageBreak/>
        <w:t xml:space="preserve">Harari </w:t>
      </w:r>
      <w:r w:rsidR="009D526C">
        <w:rPr>
          <w:rFonts w:ascii="Times" w:hAnsi="Times"/>
          <w:color w:val="auto"/>
        </w:rPr>
        <w:t xml:space="preserve">Region’s </w:t>
      </w:r>
      <w:r w:rsidR="00BC6CAF">
        <w:rPr>
          <w:rFonts w:ascii="Times" w:hAnsi="Times"/>
          <w:color w:val="auto"/>
        </w:rPr>
        <w:t>men are also illiterate (22.4%). The male illiteracy rate is a lo</w:t>
      </w:r>
      <w:r w:rsidR="006623BE">
        <w:rPr>
          <w:rFonts w:ascii="Times" w:hAnsi="Times"/>
          <w:color w:val="auto"/>
        </w:rPr>
        <w:t>t</w:t>
      </w:r>
      <w:r w:rsidR="00BC6CAF">
        <w:rPr>
          <w:rFonts w:ascii="Times" w:hAnsi="Times"/>
          <w:color w:val="auto"/>
        </w:rPr>
        <w:t xml:space="preserve"> lower in Addis Ababa (9.5%) and slightly higher in </w:t>
      </w:r>
      <w:r w:rsidR="009D526C">
        <w:rPr>
          <w:rFonts w:ascii="Times" w:hAnsi="Times"/>
          <w:color w:val="auto"/>
        </w:rPr>
        <w:t>D</w:t>
      </w:r>
      <w:r w:rsidR="00BC6CAF">
        <w:rPr>
          <w:rFonts w:ascii="Times" w:hAnsi="Times"/>
          <w:color w:val="auto"/>
        </w:rPr>
        <w:t xml:space="preserve">ire Dawa (24.5%). </w:t>
      </w:r>
      <w:r w:rsidR="00D52A19">
        <w:rPr>
          <w:rFonts w:ascii="Times" w:hAnsi="Times"/>
          <w:color w:val="auto"/>
        </w:rPr>
        <w:t xml:space="preserve"> Only 30.3% of Harari women in the reproductive age of 15-49 have complete</w:t>
      </w:r>
      <w:r w:rsidR="00406467">
        <w:rPr>
          <w:rFonts w:ascii="Times" w:hAnsi="Times"/>
          <w:color w:val="auto"/>
        </w:rPr>
        <w:t>d a secondary or higher</w:t>
      </w:r>
      <w:r w:rsidR="00D52A19">
        <w:rPr>
          <w:rFonts w:ascii="Times" w:hAnsi="Times"/>
          <w:color w:val="auto"/>
        </w:rPr>
        <w:t xml:space="preserve"> education.</w:t>
      </w:r>
      <w:r w:rsidR="009D526C">
        <w:rPr>
          <w:rFonts w:ascii="Times" w:hAnsi="Times"/>
          <w:color w:val="auto"/>
        </w:rPr>
        <w:t xml:space="preserve"> Additionally, a relatively small (</w:t>
      </w:r>
      <w:r w:rsidR="0073460F">
        <w:rPr>
          <w:rFonts w:ascii="Times" w:hAnsi="Times"/>
          <w:color w:val="auto"/>
        </w:rPr>
        <w:t>57.5%</w:t>
      </w:r>
      <w:r w:rsidR="009D526C">
        <w:rPr>
          <w:rFonts w:ascii="Times" w:hAnsi="Times"/>
          <w:color w:val="auto"/>
        </w:rPr>
        <w:t>)</w:t>
      </w:r>
      <w:r w:rsidR="0073460F">
        <w:rPr>
          <w:rFonts w:ascii="Times" w:hAnsi="Times"/>
          <w:color w:val="auto"/>
        </w:rPr>
        <w:t xml:space="preserve"> of working-age men (the lowest of any region in the country) reported themselves as having been gainfully employed during the 12 months prior to the 2011 DHS [6].</w:t>
      </w:r>
      <w:r w:rsidR="00F65350">
        <w:rPr>
          <w:rFonts w:ascii="Times" w:hAnsi="Times"/>
          <w:color w:val="auto"/>
        </w:rPr>
        <w:t xml:space="preserve"> It is also interesting to note that the highest percentage of men who smoke</w:t>
      </w:r>
      <w:r w:rsidR="009D526C">
        <w:rPr>
          <w:rFonts w:ascii="Times" w:hAnsi="Times"/>
          <w:color w:val="auto"/>
        </w:rPr>
        <w:t>d cigarettes</w:t>
      </w:r>
      <w:r w:rsidR="00F65350">
        <w:rPr>
          <w:rFonts w:ascii="Times" w:hAnsi="Times"/>
          <w:color w:val="auto"/>
        </w:rPr>
        <w:t xml:space="preserve"> (26.6%) live</w:t>
      </w:r>
      <w:r w:rsidR="009D526C">
        <w:rPr>
          <w:rFonts w:ascii="Times" w:hAnsi="Times"/>
          <w:color w:val="auto"/>
        </w:rPr>
        <w:t>d</w:t>
      </w:r>
      <w:r w:rsidR="00F65350">
        <w:rPr>
          <w:rFonts w:ascii="Times" w:hAnsi="Times"/>
          <w:color w:val="auto"/>
        </w:rPr>
        <w:t xml:space="preserve"> in Harari as d</w:t>
      </w:r>
      <w:r w:rsidR="006542C5">
        <w:rPr>
          <w:rFonts w:ascii="Times" w:hAnsi="Times"/>
          <w:color w:val="auto"/>
        </w:rPr>
        <w:t>id</w:t>
      </w:r>
      <w:r w:rsidR="00F65350">
        <w:rPr>
          <w:rFonts w:ascii="Times" w:hAnsi="Times"/>
          <w:color w:val="auto"/>
        </w:rPr>
        <w:t xml:space="preserve"> the highest percentage of women who chew</w:t>
      </w:r>
      <w:r w:rsidR="009D526C">
        <w:rPr>
          <w:rFonts w:ascii="Times" w:hAnsi="Times"/>
          <w:color w:val="auto"/>
        </w:rPr>
        <w:t>ed</w:t>
      </w:r>
      <w:r w:rsidR="00F65350">
        <w:rPr>
          <w:rFonts w:ascii="Times" w:hAnsi="Times"/>
          <w:color w:val="auto"/>
        </w:rPr>
        <w:t xml:space="preserve"> Chat (39.2%).</w:t>
      </w:r>
      <w:r w:rsidR="006D33A2">
        <w:rPr>
          <w:rFonts w:ascii="Times" w:hAnsi="Times"/>
          <w:color w:val="auto"/>
        </w:rPr>
        <w:t xml:space="preserve"> The highest </w:t>
      </w:r>
      <w:r w:rsidR="000264E2">
        <w:rPr>
          <w:rFonts w:ascii="Times" w:hAnsi="Times"/>
          <w:color w:val="auto"/>
        </w:rPr>
        <w:t>proportion</w:t>
      </w:r>
      <w:r w:rsidR="006D33A2">
        <w:rPr>
          <w:rFonts w:ascii="Times" w:hAnsi="Times"/>
          <w:color w:val="auto"/>
        </w:rPr>
        <w:t xml:space="preserve"> of men who </w:t>
      </w:r>
      <w:r w:rsidR="005C3FEE">
        <w:rPr>
          <w:rFonts w:ascii="Times" w:hAnsi="Times"/>
          <w:color w:val="auto"/>
        </w:rPr>
        <w:t>chew</w:t>
      </w:r>
      <w:r w:rsidR="009D526C">
        <w:rPr>
          <w:rFonts w:ascii="Times" w:hAnsi="Times"/>
          <w:color w:val="auto"/>
        </w:rPr>
        <w:t>ed</w:t>
      </w:r>
      <w:r w:rsidR="005C3FEE">
        <w:rPr>
          <w:rFonts w:ascii="Times" w:hAnsi="Times"/>
          <w:color w:val="auto"/>
        </w:rPr>
        <w:t xml:space="preserve"> Chat (8</w:t>
      </w:r>
      <w:r w:rsidR="0087618F">
        <w:rPr>
          <w:rFonts w:ascii="Times" w:hAnsi="Times"/>
          <w:color w:val="auto"/>
        </w:rPr>
        <w:t>1</w:t>
      </w:r>
      <w:r w:rsidR="005C3FEE">
        <w:rPr>
          <w:rFonts w:ascii="Times" w:hAnsi="Times"/>
          <w:color w:val="auto"/>
        </w:rPr>
        <w:t>.9</w:t>
      </w:r>
      <w:r w:rsidR="000264E2">
        <w:rPr>
          <w:rFonts w:ascii="Times" w:hAnsi="Times"/>
          <w:color w:val="auto"/>
        </w:rPr>
        <w:t>%</w:t>
      </w:r>
      <w:r w:rsidR="005C3FEE">
        <w:rPr>
          <w:rFonts w:ascii="Times" w:hAnsi="Times"/>
          <w:color w:val="auto"/>
        </w:rPr>
        <w:t>) also live</w:t>
      </w:r>
      <w:r w:rsidR="009D526C">
        <w:rPr>
          <w:rFonts w:ascii="Times" w:hAnsi="Times"/>
          <w:color w:val="auto"/>
        </w:rPr>
        <w:t>d</w:t>
      </w:r>
      <w:r w:rsidR="005C3FEE">
        <w:rPr>
          <w:rFonts w:ascii="Times" w:hAnsi="Times"/>
          <w:color w:val="auto"/>
        </w:rPr>
        <w:t xml:space="preserve"> in Harari.</w:t>
      </w:r>
      <w:r w:rsidR="0087618F">
        <w:rPr>
          <w:rFonts w:ascii="Times" w:hAnsi="Times"/>
          <w:color w:val="auto"/>
        </w:rPr>
        <w:t xml:space="preserve"> </w:t>
      </w:r>
      <w:r w:rsidR="005C3FEE">
        <w:rPr>
          <w:rFonts w:ascii="Times" w:hAnsi="Times"/>
          <w:color w:val="auto"/>
        </w:rPr>
        <w:t xml:space="preserve"> </w:t>
      </w:r>
    </w:p>
    <w:p w:rsidR="00493815" w:rsidRDefault="00493815" w:rsidP="00D86A71">
      <w:pPr>
        <w:pStyle w:val="Default"/>
        <w:jc w:val="both"/>
        <w:rPr>
          <w:rFonts w:ascii="Times" w:hAnsi="Times"/>
          <w:color w:val="auto"/>
        </w:rPr>
      </w:pPr>
    </w:p>
    <w:p w:rsidR="00493815" w:rsidRDefault="00770C73" w:rsidP="00D86A71">
      <w:pPr>
        <w:pStyle w:val="Default"/>
        <w:jc w:val="both"/>
        <w:rPr>
          <w:rFonts w:ascii="Times" w:hAnsi="Times"/>
          <w:color w:val="auto"/>
        </w:rPr>
      </w:pPr>
      <w:r>
        <w:rPr>
          <w:rFonts w:ascii="Times" w:hAnsi="Times"/>
          <w:color w:val="auto"/>
        </w:rPr>
        <w:t xml:space="preserve">Just over a third (34.7%) </w:t>
      </w:r>
      <w:r w:rsidR="00F428C0">
        <w:rPr>
          <w:rFonts w:ascii="Times" w:hAnsi="Times"/>
          <w:color w:val="auto"/>
        </w:rPr>
        <w:t xml:space="preserve">of </w:t>
      </w:r>
      <w:r>
        <w:rPr>
          <w:rFonts w:ascii="Times" w:hAnsi="Times"/>
          <w:color w:val="auto"/>
        </w:rPr>
        <w:t xml:space="preserve">married Harari women aged 15-49 are using contraception. </w:t>
      </w:r>
      <w:r w:rsidR="00493815">
        <w:rPr>
          <w:rFonts w:ascii="Times" w:hAnsi="Times"/>
          <w:color w:val="auto"/>
        </w:rPr>
        <w:t xml:space="preserve">The total fertility rate (TFR) in Harari (3.8) is more than twice </w:t>
      </w:r>
      <w:r w:rsidR="00BD7BCD">
        <w:rPr>
          <w:rFonts w:ascii="Times" w:hAnsi="Times"/>
          <w:color w:val="auto"/>
        </w:rPr>
        <w:t>the</w:t>
      </w:r>
      <w:r w:rsidR="00493815">
        <w:rPr>
          <w:rFonts w:ascii="Times" w:hAnsi="Times"/>
          <w:color w:val="auto"/>
        </w:rPr>
        <w:t xml:space="preserve"> rate in Addis Ababa (1.5) and slightly higher than Dire Dawa’s rate (3.4). A much higher proportion (28.5%) of Harari wome</w:t>
      </w:r>
      <w:r w:rsidR="00BD7BCD">
        <w:rPr>
          <w:rFonts w:ascii="Times" w:hAnsi="Times"/>
          <w:color w:val="auto"/>
        </w:rPr>
        <w:t xml:space="preserve">n gave birth during in the </w:t>
      </w:r>
      <w:r w:rsidR="00493815">
        <w:rPr>
          <w:rFonts w:ascii="Times" w:hAnsi="Times"/>
          <w:color w:val="auto"/>
        </w:rPr>
        <w:t>24 months prior to the 2011 DHS than in Addis Ababa (9.2</w:t>
      </w:r>
      <w:r w:rsidR="00787D71">
        <w:rPr>
          <w:rFonts w:ascii="Times" w:hAnsi="Times"/>
          <w:color w:val="auto"/>
        </w:rPr>
        <w:t>%</w:t>
      </w:r>
      <w:r w:rsidR="00493815">
        <w:rPr>
          <w:rFonts w:ascii="Times" w:hAnsi="Times"/>
          <w:color w:val="auto"/>
        </w:rPr>
        <w:t>) or Dire Dawa (23.3</w:t>
      </w:r>
      <w:r w:rsidR="00787D71">
        <w:rPr>
          <w:rFonts w:ascii="Times" w:hAnsi="Times"/>
          <w:color w:val="auto"/>
        </w:rPr>
        <w:t>%</w:t>
      </w:r>
      <w:r w:rsidR="00493815">
        <w:rPr>
          <w:rFonts w:ascii="Times" w:hAnsi="Times"/>
          <w:color w:val="auto"/>
        </w:rPr>
        <w:t xml:space="preserve">). </w:t>
      </w:r>
      <w:r w:rsidR="00006995">
        <w:rPr>
          <w:rFonts w:ascii="Times" w:hAnsi="Times"/>
          <w:color w:val="auto"/>
        </w:rPr>
        <w:t>Nearly two in five Harari w</w:t>
      </w:r>
      <w:r w:rsidR="00BD7BCD">
        <w:rPr>
          <w:rFonts w:ascii="Times" w:hAnsi="Times"/>
          <w:color w:val="auto"/>
        </w:rPr>
        <w:t xml:space="preserve">omen (39.2%) who already have </w:t>
      </w:r>
      <w:r w:rsidR="00006995">
        <w:rPr>
          <w:rFonts w:ascii="Times" w:hAnsi="Times"/>
          <w:color w:val="auto"/>
        </w:rPr>
        <w:t>3 children wish</w:t>
      </w:r>
      <w:r w:rsidR="00143D95">
        <w:rPr>
          <w:rFonts w:ascii="Times" w:hAnsi="Times"/>
          <w:color w:val="auto"/>
        </w:rPr>
        <w:t>ed</w:t>
      </w:r>
      <w:r w:rsidR="00006995">
        <w:rPr>
          <w:rFonts w:ascii="Times" w:hAnsi="Times"/>
          <w:color w:val="auto"/>
        </w:rPr>
        <w:t xml:space="preserve"> </w:t>
      </w:r>
      <w:r w:rsidR="00BD7BCD">
        <w:rPr>
          <w:rFonts w:ascii="Times" w:hAnsi="Times"/>
          <w:color w:val="auto"/>
        </w:rPr>
        <w:t>to</w:t>
      </w:r>
      <w:r w:rsidR="00006995">
        <w:rPr>
          <w:rFonts w:ascii="Times" w:hAnsi="Times"/>
          <w:color w:val="auto"/>
        </w:rPr>
        <w:t xml:space="preserve"> </w:t>
      </w:r>
      <w:r w:rsidR="00BD7BCD">
        <w:rPr>
          <w:rFonts w:ascii="Times" w:hAnsi="Times"/>
          <w:color w:val="auto"/>
        </w:rPr>
        <w:t>have no</w:t>
      </w:r>
      <w:r w:rsidR="00006995">
        <w:rPr>
          <w:rFonts w:ascii="Times" w:hAnsi="Times"/>
          <w:color w:val="auto"/>
        </w:rPr>
        <w:t xml:space="preserve"> more children. The proportions are higher in Addis Ababa (51.2%) and </w:t>
      </w:r>
      <w:r w:rsidR="00BD7BCD">
        <w:rPr>
          <w:rFonts w:ascii="Times" w:hAnsi="Times"/>
          <w:color w:val="auto"/>
        </w:rPr>
        <w:t>D</w:t>
      </w:r>
      <w:r w:rsidR="00006995">
        <w:rPr>
          <w:rFonts w:ascii="Times" w:hAnsi="Times"/>
          <w:color w:val="auto"/>
        </w:rPr>
        <w:t xml:space="preserve">ire Dawa (41.5%). </w:t>
      </w:r>
      <w:r>
        <w:rPr>
          <w:rFonts w:ascii="Times" w:hAnsi="Times"/>
          <w:color w:val="auto"/>
        </w:rPr>
        <w:t xml:space="preserve">  </w:t>
      </w:r>
    </w:p>
    <w:p w:rsidR="00E00340" w:rsidRDefault="00E00340" w:rsidP="00D86A71">
      <w:pPr>
        <w:pStyle w:val="Default"/>
        <w:jc w:val="both"/>
        <w:rPr>
          <w:rFonts w:ascii="Times" w:hAnsi="Times"/>
          <w:color w:val="auto"/>
        </w:rPr>
      </w:pPr>
    </w:p>
    <w:p w:rsidR="00E00340" w:rsidRDefault="00E00340" w:rsidP="00D86A71">
      <w:pPr>
        <w:pStyle w:val="Default"/>
        <w:jc w:val="both"/>
        <w:rPr>
          <w:rFonts w:ascii="Times" w:hAnsi="Times"/>
          <w:color w:val="auto"/>
        </w:rPr>
      </w:pPr>
    </w:p>
    <w:p w:rsidR="00E00340" w:rsidRDefault="00FD4A0C" w:rsidP="00D86A71">
      <w:pPr>
        <w:pStyle w:val="Default"/>
        <w:jc w:val="both"/>
        <w:rPr>
          <w:rFonts w:ascii="Times" w:hAnsi="Times"/>
          <w:color w:val="auto"/>
        </w:rPr>
      </w:pPr>
      <w:r>
        <w:rPr>
          <w:rFonts w:ascii="Times" w:hAnsi="Times"/>
          <w:color w:val="auto"/>
        </w:rPr>
        <w:t>Comparison of c</w:t>
      </w:r>
      <w:r w:rsidR="00E00340">
        <w:rPr>
          <w:rFonts w:ascii="Times" w:hAnsi="Times"/>
          <w:color w:val="auto"/>
        </w:rPr>
        <w:t xml:space="preserve">hildhood mortality rates in Harari </w:t>
      </w:r>
      <w:r>
        <w:rPr>
          <w:rFonts w:ascii="Times" w:hAnsi="Times"/>
          <w:color w:val="auto"/>
        </w:rPr>
        <w:t xml:space="preserve">and Dire Dawa are given </w:t>
      </w:r>
      <w:r w:rsidR="00E00340">
        <w:rPr>
          <w:rFonts w:ascii="Times" w:hAnsi="Times"/>
          <w:color w:val="auto"/>
        </w:rPr>
        <w:t xml:space="preserve"> as follows:</w:t>
      </w:r>
    </w:p>
    <w:p w:rsidR="00E00340" w:rsidRDefault="00E00340" w:rsidP="00D86A71">
      <w:pPr>
        <w:pStyle w:val="Default"/>
        <w:jc w:val="both"/>
        <w:rPr>
          <w:rFonts w:ascii="Times" w:hAnsi="Times"/>
          <w:color w:val="auto"/>
        </w:rPr>
      </w:pPr>
    </w:p>
    <w:p w:rsidR="007715EC" w:rsidRPr="000B51D2" w:rsidRDefault="007715EC" w:rsidP="007715EC">
      <w:pPr>
        <w:spacing w:line="240" w:lineRule="auto"/>
        <w:rPr>
          <w:rFonts w:cs="Arial"/>
          <w:b/>
          <w:bCs w:val="0"/>
          <w:color w:val="000066"/>
          <w:sz w:val="36"/>
          <w:szCs w:val="14"/>
        </w:rPr>
      </w:pPr>
      <w:r w:rsidRPr="000B51D2">
        <w:rPr>
          <w:rFonts w:cs="Arial"/>
          <w:b/>
          <w:sz w:val="20"/>
          <w:szCs w:val="14"/>
        </w:rPr>
        <w:t xml:space="preserve">                          </w:t>
      </w:r>
      <w:r w:rsidRPr="000B51D2">
        <w:rPr>
          <w:rFonts w:cs="Arial"/>
          <w:b/>
          <w:sz w:val="20"/>
          <w:szCs w:val="14"/>
          <w:u w:val="single"/>
        </w:rPr>
        <w:t>Neonatal mortality</w:t>
      </w:r>
      <w:r w:rsidRPr="000B51D2">
        <w:rPr>
          <w:rFonts w:cs="Arial"/>
          <w:b/>
          <w:color w:val="000066"/>
          <w:sz w:val="20"/>
          <w:szCs w:val="14"/>
          <w:u w:val="single"/>
        </w:rPr>
        <w:t xml:space="preserve"> </w:t>
      </w:r>
      <w:r w:rsidRPr="000B51D2">
        <w:rPr>
          <w:rFonts w:cs="Arial"/>
          <w:b/>
          <w:color w:val="C00000"/>
          <w:sz w:val="20"/>
          <w:szCs w:val="14"/>
          <w:u w:val="single"/>
        </w:rPr>
        <w:t>(NN)</w:t>
      </w:r>
      <w:r w:rsidRPr="000B51D2">
        <w:rPr>
          <w:rFonts w:cs="Arial"/>
          <w:b/>
          <w:color w:val="000066"/>
          <w:sz w:val="20"/>
          <w:szCs w:val="14"/>
        </w:rPr>
        <w:t xml:space="preserve"> </w:t>
      </w:r>
      <w:r w:rsidRPr="000B51D2">
        <w:rPr>
          <w:rFonts w:cs="Arial"/>
          <w:b/>
          <w:sz w:val="20"/>
          <w:szCs w:val="14"/>
          <w:u w:val="single"/>
        </w:rPr>
        <w:t>Postneonatal mortality</w:t>
      </w:r>
      <w:r w:rsidRPr="000B51D2">
        <w:rPr>
          <w:rFonts w:cs="Arial"/>
          <w:b/>
          <w:color w:val="000066"/>
          <w:sz w:val="20"/>
          <w:szCs w:val="14"/>
          <w:u w:val="single"/>
        </w:rPr>
        <w:t xml:space="preserve"> </w:t>
      </w:r>
      <w:r w:rsidRPr="000B51D2">
        <w:rPr>
          <w:rFonts w:cs="Arial"/>
          <w:b/>
          <w:color w:val="C00000"/>
          <w:sz w:val="20"/>
          <w:szCs w:val="14"/>
          <w:u w:val="single"/>
        </w:rPr>
        <w:t>(PNN)</w:t>
      </w:r>
      <w:r w:rsidRPr="000B51D2">
        <w:rPr>
          <w:rFonts w:cs="Arial"/>
          <w:b/>
          <w:color w:val="000066"/>
          <w:sz w:val="15"/>
          <w:szCs w:val="9"/>
        </w:rPr>
        <w:t xml:space="preserve"> </w:t>
      </w:r>
      <w:r w:rsidRPr="000B51D2">
        <w:rPr>
          <w:rFonts w:cs="Arial"/>
          <w:b/>
          <w:sz w:val="20"/>
          <w:szCs w:val="14"/>
          <w:u w:val="single"/>
        </w:rPr>
        <w:t>Infant mortality</w:t>
      </w:r>
      <w:r w:rsidRPr="000B51D2">
        <w:rPr>
          <w:rFonts w:cs="Arial"/>
          <w:b/>
          <w:color w:val="000066"/>
          <w:sz w:val="20"/>
          <w:szCs w:val="14"/>
          <w:u w:val="single"/>
        </w:rPr>
        <w:t xml:space="preserve"> </w:t>
      </w:r>
      <w:r w:rsidRPr="000B51D2">
        <w:rPr>
          <w:rFonts w:cs="Arial"/>
          <w:b/>
          <w:color w:val="C00000"/>
          <w:sz w:val="20"/>
          <w:szCs w:val="14"/>
          <w:u w:val="single"/>
        </w:rPr>
        <w:t>(</w:t>
      </w:r>
      <w:r w:rsidRPr="000B51D2">
        <w:rPr>
          <w:rFonts w:cs="Arial"/>
          <w:b/>
          <w:color w:val="C00000"/>
          <w:sz w:val="15"/>
          <w:szCs w:val="9"/>
          <w:u w:val="single"/>
        </w:rPr>
        <w:t>1</w:t>
      </w:r>
      <w:r w:rsidRPr="000B51D2">
        <w:rPr>
          <w:rFonts w:cs="Arial"/>
          <w:b/>
          <w:color w:val="C00000"/>
          <w:sz w:val="20"/>
          <w:szCs w:val="14"/>
          <w:u w:val="single"/>
        </w:rPr>
        <w:t>q</w:t>
      </w:r>
      <w:r w:rsidRPr="000B51D2">
        <w:rPr>
          <w:rFonts w:cs="Arial"/>
          <w:b/>
          <w:color w:val="C00000"/>
          <w:sz w:val="15"/>
          <w:szCs w:val="9"/>
          <w:u w:val="single"/>
        </w:rPr>
        <w:t>0</w:t>
      </w:r>
      <w:r w:rsidRPr="000B51D2">
        <w:rPr>
          <w:rFonts w:cs="Arial"/>
          <w:b/>
          <w:color w:val="C00000"/>
          <w:sz w:val="20"/>
          <w:szCs w:val="14"/>
          <w:u w:val="single"/>
        </w:rPr>
        <w:t>)</w:t>
      </w:r>
      <w:r w:rsidRPr="000B51D2">
        <w:rPr>
          <w:rFonts w:cs="Arial"/>
          <w:b/>
          <w:color w:val="000066"/>
          <w:sz w:val="20"/>
          <w:szCs w:val="14"/>
        </w:rPr>
        <w:t xml:space="preserve"> </w:t>
      </w:r>
      <w:r w:rsidRPr="000B51D2">
        <w:rPr>
          <w:rFonts w:cs="Arial"/>
          <w:b/>
          <w:sz w:val="20"/>
          <w:szCs w:val="14"/>
          <w:u w:val="single"/>
        </w:rPr>
        <w:t>Child mortality</w:t>
      </w:r>
      <w:r w:rsidRPr="000B51D2">
        <w:rPr>
          <w:rFonts w:cs="Arial"/>
          <w:b/>
          <w:color w:val="000066"/>
          <w:sz w:val="20"/>
          <w:szCs w:val="14"/>
          <w:u w:val="single"/>
        </w:rPr>
        <w:t xml:space="preserve"> </w:t>
      </w:r>
      <w:r w:rsidRPr="000B51D2">
        <w:rPr>
          <w:rFonts w:cs="Arial"/>
          <w:b/>
          <w:color w:val="C00000"/>
          <w:sz w:val="20"/>
          <w:szCs w:val="14"/>
          <w:u w:val="single"/>
        </w:rPr>
        <w:t>(</w:t>
      </w:r>
      <w:r w:rsidRPr="000B51D2">
        <w:rPr>
          <w:rFonts w:cs="Arial"/>
          <w:b/>
          <w:color w:val="C00000"/>
          <w:sz w:val="15"/>
          <w:szCs w:val="9"/>
          <w:u w:val="single"/>
        </w:rPr>
        <w:t>4</w:t>
      </w:r>
      <w:r w:rsidRPr="000B51D2">
        <w:rPr>
          <w:rFonts w:cs="Arial"/>
          <w:b/>
          <w:color w:val="C00000"/>
          <w:sz w:val="20"/>
          <w:szCs w:val="14"/>
          <w:u w:val="single"/>
        </w:rPr>
        <w:t>q</w:t>
      </w:r>
      <w:r w:rsidRPr="000B51D2">
        <w:rPr>
          <w:rFonts w:cs="Arial"/>
          <w:b/>
          <w:color w:val="C00000"/>
          <w:sz w:val="15"/>
          <w:szCs w:val="9"/>
          <w:u w:val="single"/>
        </w:rPr>
        <w:t>1</w:t>
      </w:r>
      <w:r w:rsidRPr="000B51D2">
        <w:rPr>
          <w:rFonts w:cs="Arial"/>
          <w:b/>
          <w:color w:val="C00000"/>
          <w:sz w:val="20"/>
          <w:szCs w:val="14"/>
        </w:rPr>
        <w:t>)</w:t>
      </w:r>
      <w:r w:rsidRPr="000B51D2">
        <w:rPr>
          <w:rFonts w:cs="Arial"/>
          <w:b/>
          <w:color w:val="000066"/>
          <w:sz w:val="20"/>
          <w:szCs w:val="14"/>
        </w:rPr>
        <w:t xml:space="preserve"> </w:t>
      </w:r>
      <w:r w:rsidRPr="000B51D2">
        <w:rPr>
          <w:rFonts w:cs="Arial"/>
          <w:b/>
          <w:sz w:val="20"/>
          <w:szCs w:val="14"/>
          <w:u w:val="single"/>
        </w:rPr>
        <w:t>Under-five mortality</w:t>
      </w:r>
      <w:r w:rsidRPr="000B51D2">
        <w:rPr>
          <w:rFonts w:cs="Arial"/>
          <w:b/>
          <w:color w:val="000066"/>
          <w:sz w:val="20"/>
          <w:szCs w:val="14"/>
          <w:u w:val="single"/>
        </w:rPr>
        <w:t xml:space="preserve"> </w:t>
      </w:r>
      <w:r w:rsidRPr="000B51D2">
        <w:rPr>
          <w:rFonts w:cs="Arial"/>
          <w:b/>
          <w:color w:val="C00000"/>
          <w:sz w:val="20"/>
          <w:szCs w:val="14"/>
          <w:u w:val="single"/>
        </w:rPr>
        <w:t>(</w:t>
      </w:r>
      <w:r w:rsidRPr="000B51D2">
        <w:rPr>
          <w:rFonts w:cs="Arial"/>
          <w:b/>
          <w:color w:val="C00000"/>
          <w:sz w:val="15"/>
          <w:szCs w:val="9"/>
          <w:u w:val="single"/>
        </w:rPr>
        <w:t>5</w:t>
      </w:r>
      <w:r w:rsidRPr="000B51D2">
        <w:rPr>
          <w:rFonts w:cs="Arial"/>
          <w:b/>
          <w:color w:val="C00000"/>
          <w:sz w:val="20"/>
          <w:szCs w:val="14"/>
          <w:u w:val="single"/>
        </w:rPr>
        <w:t>q</w:t>
      </w:r>
      <w:r w:rsidRPr="000B51D2">
        <w:rPr>
          <w:rFonts w:cs="Arial"/>
          <w:b/>
          <w:color w:val="C00000"/>
          <w:sz w:val="15"/>
          <w:szCs w:val="9"/>
          <w:u w:val="single"/>
        </w:rPr>
        <w:t>0</w:t>
      </w:r>
      <w:r w:rsidRPr="000B51D2">
        <w:rPr>
          <w:rFonts w:cs="Arial"/>
          <w:b/>
          <w:color w:val="C00000"/>
          <w:sz w:val="20"/>
          <w:szCs w:val="14"/>
          <w:u w:val="single"/>
        </w:rPr>
        <w:t>)</w:t>
      </w:r>
    </w:p>
    <w:p w:rsidR="007715EC" w:rsidRDefault="007715EC" w:rsidP="007715EC">
      <w:pPr>
        <w:spacing w:line="240" w:lineRule="auto"/>
        <w:rPr>
          <w:rFonts w:cs="Arial"/>
          <w:b/>
          <w:szCs w:val="14"/>
        </w:rPr>
      </w:pPr>
    </w:p>
    <w:p w:rsidR="007715EC" w:rsidRDefault="007715EC" w:rsidP="007715EC">
      <w:pPr>
        <w:spacing w:line="240" w:lineRule="auto"/>
        <w:rPr>
          <w:rFonts w:cs="Arial"/>
          <w:b/>
          <w:szCs w:val="14"/>
        </w:rPr>
      </w:pPr>
      <w:r>
        <w:rPr>
          <w:rFonts w:cs="Arial"/>
          <w:b/>
          <w:szCs w:val="14"/>
        </w:rPr>
        <w:t xml:space="preserve">Harari </w:t>
      </w:r>
      <w:r>
        <w:rPr>
          <w:rFonts w:cs="Arial"/>
          <w:b/>
          <w:szCs w:val="14"/>
        </w:rPr>
        <w:tab/>
      </w:r>
      <w:r>
        <w:rPr>
          <w:rFonts w:cs="Arial"/>
          <w:b/>
          <w:szCs w:val="14"/>
        </w:rPr>
        <w:tab/>
      </w:r>
      <w:r>
        <w:rPr>
          <w:rFonts w:cs="Arial"/>
          <w:b/>
          <w:szCs w:val="14"/>
        </w:rPr>
        <w:tab/>
        <w:t>35</w:t>
      </w:r>
      <w:r w:rsidR="0084732B">
        <w:rPr>
          <w:rFonts w:cs="Arial"/>
          <w:b/>
          <w:szCs w:val="14"/>
        </w:rPr>
        <w:tab/>
      </w:r>
      <w:r w:rsidR="0084732B">
        <w:rPr>
          <w:rFonts w:cs="Arial"/>
          <w:b/>
          <w:szCs w:val="14"/>
        </w:rPr>
        <w:tab/>
      </w:r>
      <w:r w:rsidR="0084732B">
        <w:rPr>
          <w:rFonts w:cs="Arial"/>
          <w:b/>
          <w:szCs w:val="14"/>
        </w:rPr>
        <w:tab/>
        <w:t>29</w:t>
      </w:r>
      <w:r w:rsidR="0084732B">
        <w:rPr>
          <w:rFonts w:cs="Arial"/>
          <w:b/>
          <w:szCs w:val="14"/>
        </w:rPr>
        <w:tab/>
      </w:r>
      <w:r w:rsidR="0084732B">
        <w:rPr>
          <w:rFonts w:cs="Arial"/>
          <w:b/>
          <w:szCs w:val="14"/>
        </w:rPr>
        <w:tab/>
      </w:r>
      <w:r w:rsidR="0084732B">
        <w:rPr>
          <w:rFonts w:cs="Arial"/>
          <w:b/>
          <w:szCs w:val="14"/>
        </w:rPr>
        <w:tab/>
        <w:t>64</w:t>
      </w:r>
      <w:r w:rsidR="0084732B">
        <w:rPr>
          <w:rFonts w:cs="Arial"/>
          <w:b/>
          <w:szCs w:val="14"/>
        </w:rPr>
        <w:tab/>
      </w:r>
      <w:r w:rsidR="0084732B">
        <w:rPr>
          <w:rFonts w:cs="Arial"/>
          <w:b/>
          <w:szCs w:val="14"/>
        </w:rPr>
        <w:tab/>
      </w:r>
      <w:r w:rsidR="0084732B">
        <w:rPr>
          <w:rFonts w:cs="Arial"/>
          <w:b/>
          <w:szCs w:val="14"/>
        </w:rPr>
        <w:tab/>
        <w:t>32</w:t>
      </w:r>
      <w:r w:rsidR="0084732B">
        <w:rPr>
          <w:rFonts w:cs="Arial"/>
          <w:b/>
          <w:szCs w:val="14"/>
        </w:rPr>
        <w:tab/>
      </w:r>
      <w:r w:rsidR="0084732B">
        <w:rPr>
          <w:rFonts w:cs="Arial"/>
          <w:b/>
          <w:szCs w:val="14"/>
        </w:rPr>
        <w:tab/>
      </w:r>
      <w:r w:rsidR="0084732B">
        <w:rPr>
          <w:rFonts w:cs="Arial"/>
          <w:b/>
          <w:szCs w:val="14"/>
        </w:rPr>
        <w:tab/>
        <w:t>94</w:t>
      </w:r>
    </w:p>
    <w:p w:rsidR="007715EC" w:rsidRPr="000B51D2" w:rsidRDefault="007715EC" w:rsidP="007715EC">
      <w:pPr>
        <w:rPr>
          <w:b/>
          <w:color w:val="000066"/>
          <w:sz w:val="96"/>
        </w:rPr>
      </w:pPr>
      <w:r w:rsidRPr="000B51D2">
        <w:rPr>
          <w:rFonts w:cs="Arial"/>
          <w:b/>
          <w:szCs w:val="14"/>
        </w:rPr>
        <w:t>Dire Dawa</w:t>
      </w:r>
      <w:r w:rsidRPr="000B51D2">
        <w:rPr>
          <w:rFonts w:cs="Arial"/>
          <w:b/>
          <w:color w:val="000066"/>
          <w:szCs w:val="14"/>
        </w:rPr>
        <w:tab/>
      </w:r>
      <w:r w:rsidRPr="000B51D2">
        <w:rPr>
          <w:rFonts w:cs="Arial"/>
          <w:b/>
          <w:color w:val="000066"/>
          <w:szCs w:val="14"/>
        </w:rPr>
        <w:tab/>
      </w:r>
      <w:r w:rsidR="00E6616A">
        <w:rPr>
          <w:rFonts w:cs="Arial"/>
          <w:b/>
          <w:color w:val="000066"/>
          <w:szCs w:val="14"/>
        </w:rPr>
        <w:tab/>
      </w:r>
      <w:r w:rsidRPr="000B51D2">
        <w:rPr>
          <w:rFonts w:cs="Arial"/>
          <w:b/>
          <w:color w:val="000066"/>
          <w:szCs w:val="14"/>
        </w:rPr>
        <w:t>30</w:t>
      </w:r>
      <w:r w:rsidRPr="000B51D2">
        <w:rPr>
          <w:rFonts w:cs="Arial"/>
          <w:b/>
          <w:color w:val="000066"/>
          <w:szCs w:val="14"/>
        </w:rPr>
        <w:tab/>
      </w:r>
      <w:r w:rsidRPr="000B51D2">
        <w:rPr>
          <w:rFonts w:cs="Arial"/>
          <w:b/>
          <w:color w:val="000066"/>
          <w:szCs w:val="14"/>
        </w:rPr>
        <w:tab/>
      </w:r>
      <w:r w:rsidRPr="000B51D2">
        <w:rPr>
          <w:rFonts w:cs="Arial"/>
          <w:b/>
          <w:color w:val="000066"/>
          <w:szCs w:val="14"/>
        </w:rPr>
        <w:tab/>
        <w:t>30</w:t>
      </w:r>
      <w:r w:rsidRPr="000B51D2">
        <w:rPr>
          <w:rFonts w:cs="Arial"/>
          <w:b/>
          <w:color w:val="000066"/>
          <w:szCs w:val="14"/>
        </w:rPr>
        <w:tab/>
      </w:r>
      <w:r w:rsidRPr="000B51D2">
        <w:rPr>
          <w:rFonts w:cs="Arial"/>
          <w:b/>
          <w:color w:val="000066"/>
          <w:szCs w:val="14"/>
        </w:rPr>
        <w:tab/>
      </w:r>
      <w:r w:rsidRPr="000B51D2">
        <w:rPr>
          <w:rFonts w:cs="Arial"/>
          <w:b/>
          <w:color w:val="000066"/>
          <w:szCs w:val="14"/>
        </w:rPr>
        <w:tab/>
        <w:t>60</w:t>
      </w:r>
      <w:r w:rsidRPr="000B51D2">
        <w:rPr>
          <w:rFonts w:cs="Arial"/>
          <w:b/>
          <w:color w:val="000066"/>
          <w:szCs w:val="14"/>
        </w:rPr>
        <w:tab/>
      </w:r>
      <w:r w:rsidRPr="000B51D2">
        <w:rPr>
          <w:rFonts w:cs="Arial"/>
          <w:b/>
          <w:color w:val="000066"/>
          <w:szCs w:val="14"/>
        </w:rPr>
        <w:tab/>
      </w:r>
      <w:r w:rsidRPr="000B51D2">
        <w:rPr>
          <w:rFonts w:cs="Arial"/>
          <w:b/>
          <w:color w:val="000066"/>
          <w:szCs w:val="14"/>
        </w:rPr>
        <w:tab/>
        <w:t>39</w:t>
      </w:r>
      <w:r w:rsidRPr="000B51D2">
        <w:rPr>
          <w:rFonts w:cs="Arial"/>
          <w:b/>
          <w:color w:val="000066"/>
          <w:szCs w:val="14"/>
        </w:rPr>
        <w:tab/>
      </w:r>
      <w:r w:rsidRPr="000B51D2">
        <w:rPr>
          <w:rFonts w:cs="Arial"/>
          <w:b/>
          <w:color w:val="000066"/>
          <w:szCs w:val="14"/>
        </w:rPr>
        <w:tab/>
      </w:r>
      <w:r w:rsidRPr="000B51D2">
        <w:rPr>
          <w:rFonts w:cs="Arial"/>
          <w:b/>
          <w:color w:val="000066"/>
          <w:szCs w:val="14"/>
        </w:rPr>
        <w:tab/>
        <w:t>97</w:t>
      </w:r>
    </w:p>
    <w:p w:rsidR="00E00340" w:rsidRDefault="00E00340" w:rsidP="00D86A71">
      <w:pPr>
        <w:pStyle w:val="Default"/>
        <w:jc w:val="both"/>
        <w:rPr>
          <w:rFonts w:ascii="Times" w:hAnsi="Times"/>
          <w:color w:val="auto"/>
          <w:sz w:val="22"/>
        </w:rPr>
      </w:pPr>
    </w:p>
    <w:p w:rsidR="007715EC" w:rsidRDefault="00977F63" w:rsidP="00D86A71">
      <w:pPr>
        <w:pStyle w:val="Default"/>
        <w:jc w:val="both"/>
        <w:rPr>
          <w:rFonts w:ascii="Times" w:hAnsi="Times"/>
          <w:color w:val="auto"/>
          <w:sz w:val="22"/>
        </w:rPr>
      </w:pPr>
      <w:r>
        <w:rPr>
          <w:rFonts w:ascii="Times" w:hAnsi="Times"/>
          <w:color w:val="auto"/>
          <w:sz w:val="22"/>
        </w:rPr>
        <w:t>Source: [based on 6]</w:t>
      </w:r>
    </w:p>
    <w:p w:rsidR="007715EC" w:rsidRDefault="007715EC" w:rsidP="00D86A71">
      <w:pPr>
        <w:pStyle w:val="Default"/>
        <w:jc w:val="both"/>
        <w:rPr>
          <w:rFonts w:ascii="Times" w:hAnsi="Times"/>
          <w:color w:val="auto"/>
          <w:sz w:val="22"/>
        </w:rPr>
      </w:pPr>
    </w:p>
    <w:p w:rsidR="007715EC" w:rsidRPr="009D30AD" w:rsidRDefault="007715EC" w:rsidP="00D86A71">
      <w:pPr>
        <w:pStyle w:val="Default"/>
        <w:jc w:val="both"/>
        <w:rPr>
          <w:rFonts w:ascii="Times" w:hAnsi="Times"/>
          <w:color w:val="auto"/>
          <w:sz w:val="22"/>
        </w:rPr>
      </w:pPr>
    </w:p>
    <w:p w:rsidR="00E65C0C" w:rsidRDefault="00E65C0C" w:rsidP="00D86A71">
      <w:pPr>
        <w:pStyle w:val="Default"/>
        <w:ind w:firstLine="720"/>
        <w:jc w:val="both"/>
        <w:rPr>
          <w:rFonts w:ascii="Times" w:hAnsi="Times"/>
        </w:rPr>
      </w:pPr>
    </w:p>
    <w:p w:rsidR="00FD4A0C" w:rsidRDefault="00FD4A0C" w:rsidP="00D86A71">
      <w:pPr>
        <w:pStyle w:val="Default"/>
        <w:ind w:firstLine="720"/>
        <w:jc w:val="both"/>
        <w:rPr>
          <w:rFonts w:ascii="Times" w:hAnsi="Times"/>
        </w:rPr>
      </w:pPr>
    </w:p>
    <w:p w:rsidR="007715EC" w:rsidRPr="00E65C0C" w:rsidRDefault="007715EC" w:rsidP="00D86A71">
      <w:pPr>
        <w:pStyle w:val="Default"/>
        <w:ind w:firstLine="720"/>
        <w:jc w:val="both"/>
        <w:rPr>
          <w:rFonts w:ascii="Times" w:hAnsi="Times"/>
        </w:rPr>
      </w:pPr>
    </w:p>
    <w:p w:rsidR="000D6409" w:rsidRPr="008B57E3" w:rsidRDefault="000D6409" w:rsidP="00D86A71">
      <w:pPr>
        <w:pStyle w:val="Default"/>
        <w:ind w:firstLine="360"/>
        <w:jc w:val="both"/>
        <w:rPr>
          <w:rFonts w:ascii="Times" w:hAnsi="Times"/>
          <w:b/>
        </w:rPr>
      </w:pPr>
      <w:r w:rsidRPr="008B57E3">
        <w:rPr>
          <w:rFonts w:ascii="Times" w:hAnsi="Times"/>
          <w:b/>
        </w:rPr>
        <w:t>References:</w:t>
      </w:r>
    </w:p>
    <w:p w:rsidR="000D6409" w:rsidRPr="008B57E3" w:rsidRDefault="000D6409" w:rsidP="00D86A71">
      <w:pPr>
        <w:pStyle w:val="Default"/>
        <w:jc w:val="both"/>
        <w:rPr>
          <w:rFonts w:ascii="Times" w:hAnsi="Times"/>
          <w:b/>
        </w:rPr>
      </w:pPr>
    </w:p>
    <w:p w:rsidR="000D6409" w:rsidRPr="008B57E3" w:rsidRDefault="000D6409" w:rsidP="00D86A71">
      <w:pPr>
        <w:pStyle w:val="Default"/>
        <w:jc w:val="both"/>
        <w:rPr>
          <w:rFonts w:ascii="Times" w:hAnsi="Times"/>
          <w:b/>
        </w:rPr>
      </w:pPr>
      <w:r w:rsidRPr="008B57E3">
        <w:rPr>
          <w:rFonts w:ascii="Times" w:hAnsi="Times"/>
          <w:b/>
        </w:rPr>
        <w:t xml:space="preserve"> </w:t>
      </w:r>
    </w:p>
    <w:p w:rsidR="002B5F73" w:rsidRPr="008B57E3" w:rsidRDefault="002B5F73" w:rsidP="002B5F73">
      <w:pPr>
        <w:pStyle w:val="Default"/>
        <w:rPr>
          <w:rFonts w:ascii="Times" w:hAnsi="Times"/>
          <w:b/>
        </w:rPr>
      </w:pPr>
    </w:p>
    <w:p w:rsidR="002B5F73" w:rsidRPr="008B57E3" w:rsidRDefault="002B5F73" w:rsidP="002B5F73">
      <w:pPr>
        <w:pStyle w:val="Default"/>
        <w:numPr>
          <w:ilvl w:val="0"/>
          <w:numId w:val="5"/>
        </w:numPr>
        <w:rPr>
          <w:rFonts w:ascii="Times" w:hAnsi="Times"/>
          <w:b/>
        </w:rPr>
      </w:pPr>
      <w:r w:rsidRPr="008B57E3">
        <w:rPr>
          <w:rFonts w:ascii="Times" w:hAnsi="Times"/>
          <w:b/>
        </w:rPr>
        <w:t>Christine Gibb, “Sharing the Faith – Religion and Ethnicity in the City of Harar [1]  Horn Of Africa, 1999</w:t>
      </w:r>
    </w:p>
    <w:p w:rsidR="000D6409" w:rsidRPr="008B57E3" w:rsidRDefault="000D6409" w:rsidP="00A64620">
      <w:pPr>
        <w:pStyle w:val="Default"/>
        <w:numPr>
          <w:ilvl w:val="0"/>
          <w:numId w:val="5"/>
        </w:numPr>
        <w:rPr>
          <w:rFonts w:ascii="Times" w:hAnsi="Times"/>
          <w:b/>
        </w:rPr>
      </w:pPr>
      <w:r w:rsidRPr="008B57E3">
        <w:rPr>
          <w:rFonts w:ascii="Times" w:hAnsi="Times"/>
          <w:b/>
          <w:bCs/>
        </w:rPr>
        <w:t xml:space="preserve">Camilla Gibb, University of Oxford , “Ethiopia In Broader Perspective”: Papers of the XIII InternationalConference of Ethiopian Studies – Kyoto 12-17 December 1997 </w:t>
      </w:r>
    </w:p>
    <w:p w:rsidR="000D6409" w:rsidRPr="008B57E3" w:rsidRDefault="000D6409" w:rsidP="00A64620">
      <w:pPr>
        <w:ind w:firstLine="720"/>
        <w:rPr>
          <w:b/>
          <w:bCs w:val="0"/>
        </w:rPr>
      </w:pPr>
      <w:r w:rsidRPr="008B57E3">
        <w:rPr>
          <w:b/>
        </w:rPr>
        <w:t>Volume II</w:t>
      </w:r>
    </w:p>
    <w:p w:rsidR="000D6409" w:rsidRPr="008B57E3" w:rsidRDefault="000D6409" w:rsidP="00A64620">
      <w:pPr>
        <w:pStyle w:val="Default"/>
        <w:numPr>
          <w:ilvl w:val="0"/>
          <w:numId w:val="5"/>
        </w:numPr>
        <w:rPr>
          <w:rFonts w:ascii="Times" w:hAnsi="Times"/>
          <w:b/>
        </w:rPr>
      </w:pPr>
      <w:r w:rsidRPr="008B57E3">
        <w:rPr>
          <w:rFonts w:ascii="Times" w:hAnsi="Times"/>
          <w:b/>
          <w:bCs/>
        </w:rPr>
        <w:t>Sidney R. Waldron.  “Harar: The Muslim City In Ethiopia”</w:t>
      </w:r>
      <w:r w:rsidR="00A64620" w:rsidRPr="008B57E3">
        <w:rPr>
          <w:rFonts w:ascii="Times" w:hAnsi="Times"/>
          <w:b/>
          <w:bCs/>
        </w:rPr>
        <w:t xml:space="preserve">. </w:t>
      </w:r>
      <w:r w:rsidR="00A64620" w:rsidRPr="008B57E3">
        <w:rPr>
          <w:rFonts w:ascii="Times" w:hAnsi="Times"/>
          <w:b/>
        </w:rPr>
        <w:t xml:space="preserve"> </w:t>
      </w:r>
      <w:r w:rsidR="00A64620" w:rsidRPr="008B57E3">
        <w:rPr>
          <w:rFonts w:ascii="Times" w:hAnsi="Times"/>
          <w:b/>
          <w:bCs/>
        </w:rPr>
        <w:t>Proceedings of the Fifth International Conference on Ethiopian Studies Section B / April 13-16 1978 / Chicago, USA Robert L. Hess, Editor</w:t>
      </w:r>
    </w:p>
    <w:p w:rsidR="00A77613" w:rsidRPr="008B57E3" w:rsidRDefault="00A77613" w:rsidP="00A64620">
      <w:pPr>
        <w:pStyle w:val="Default"/>
        <w:numPr>
          <w:ilvl w:val="0"/>
          <w:numId w:val="5"/>
        </w:numPr>
        <w:rPr>
          <w:rFonts w:ascii="Times" w:hAnsi="Times"/>
          <w:b/>
        </w:rPr>
      </w:pPr>
      <w:r w:rsidRPr="008B57E3">
        <w:rPr>
          <w:rFonts w:ascii="Times" w:hAnsi="Times"/>
          <w:b/>
          <w:bCs/>
        </w:rPr>
        <w:t>Unknown author (Nov. 2011), “Research Report of Demographic Features of Harari Society”</w:t>
      </w:r>
    </w:p>
    <w:p w:rsidR="008B57E3" w:rsidRPr="008B57E3" w:rsidRDefault="008B57E3" w:rsidP="008B57E3">
      <w:pPr>
        <w:pStyle w:val="ListParagraph"/>
        <w:numPr>
          <w:ilvl w:val="0"/>
          <w:numId w:val="5"/>
        </w:numPr>
        <w:autoSpaceDE w:val="0"/>
        <w:autoSpaceDN w:val="0"/>
        <w:adjustRightInd w:val="0"/>
        <w:spacing w:before="100" w:beforeAutospacing="1" w:after="0" w:line="360" w:lineRule="auto"/>
        <w:jc w:val="both"/>
        <w:rPr>
          <w:rFonts w:ascii="Times" w:hAnsi="Times" w:cs="Times New Roman"/>
          <w:b/>
          <w:sz w:val="24"/>
          <w:szCs w:val="24"/>
        </w:rPr>
      </w:pPr>
      <w:r w:rsidRPr="008B57E3">
        <w:rPr>
          <w:rFonts w:ascii="Times" w:hAnsi="Times"/>
          <w:b/>
          <w:sz w:val="24"/>
          <w:szCs w:val="24"/>
        </w:rPr>
        <w:t xml:space="preserve">Central Statistical Authority (CSA) of Ethiopia. The 2008 National Statistics. </w:t>
      </w:r>
      <w:hyperlink r:id="rId17" w:history="1">
        <w:r w:rsidRPr="008B57E3">
          <w:rPr>
            <w:rStyle w:val="Hyperlink"/>
            <w:rFonts w:ascii="Times" w:hAnsi="Times"/>
            <w:b/>
            <w:sz w:val="24"/>
            <w:szCs w:val="24"/>
          </w:rPr>
          <w:t>http://www.csa.gov.et/</w:t>
        </w:r>
      </w:hyperlink>
      <w:r w:rsidRPr="008B57E3">
        <w:rPr>
          <w:rFonts w:ascii="Times" w:hAnsi="Times"/>
          <w:b/>
          <w:sz w:val="24"/>
          <w:szCs w:val="24"/>
        </w:rPr>
        <w:t xml:space="preserve"> text_files/2008_national_statistics.htm</w:t>
      </w:r>
    </w:p>
    <w:p w:rsidR="00E24771" w:rsidRPr="00E24771" w:rsidRDefault="00E24771" w:rsidP="00E24771">
      <w:pPr>
        <w:pStyle w:val="ListParagraph"/>
        <w:numPr>
          <w:ilvl w:val="0"/>
          <w:numId w:val="5"/>
        </w:numPr>
        <w:autoSpaceDE w:val="0"/>
        <w:autoSpaceDN w:val="0"/>
        <w:adjustRightInd w:val="0"/>
        <w:spacing w:after="0" w:line="240" w:lineRule="auto"/>
        <w:jc w:val="both"/>
        <w:rPr>
          <w:rFonts w:ascii="Times" w:eastAsia="Times New Roman" w:hAnsi="Times" w:cs="Times New Roman"/>
          <w:b/>
        </w:rPr>
      </w:pPr>
      <w:r w:rsidRPr="00E24771">
        <w:rPr>
          <w:rFonts w:ascii="Times" w:eastAsia="Times New Roman" w:hAnsi="Times" w:cs="Times"/>
          <w:b/>
          <w:color w:val="000000"/>
        </w:rPr>
        <w:t>Demographic and Health Survey 2011. Central statistical Authority, Ethiopia. ORC Marco, Cavelrton, Maryland, USA.</w:t>
      </w:r>
    </w:p>
    <w:p w:rsidR="00E24771" w:rsidRPr="00E24771" w:rsidRDefault="00E24771" w:rsidP="00E24771">
      <w:pPr>
        <w:pStyle w:val="ListParagraph"/>
        <w:spacing w:line="240" w:lineRule="auto"/>
        <w:ind w:left="1080"/>
        <w:rPr>
          <w:rFonts w:ascii="Times" w:eastAsia="Times New Roman" w:hAnsi="Times" w:cs="Times New Roman"/>
          <w:b/>
        </w:rPr>
      </w:pPr>
      <w:r w:rsidRPr="00E24771">
        <w:rPr>
          <w:rFonts w:ascii="Times" w:eastAsia="Times New Roman" w:hAnsi="Times" w:cs="Times"/>
          <w:b/>
          <w:color w:val="000000"/>
        </w:rPr>
        <w:t>        2012.</w:t>
      </w:r>
    </w:p>
    <w:p w:rsidR="008B57E3" w:rsidRDefault="008B57E3" w:rsidP="00E24771">
      <w:pPr>
        <w:pStyle w:val="Default"/>
        <w:ind w:left="720"/>
      </w:pPr>
    </w:p>
    <w:sectPr w:rsidR="008B57E3" w:rsidSect="009C6722">
      <w:footerReference w:type="default" r:id="rId18"/>
      <w:pgSz w:w="15840" w:h="24480" w:code="4"/>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5DD" w:rsidRDefault="00E275DD" w:rsidP="00507D86">
      <w:pPr>
        <w:spacing w:line="240" w:lineRule="auto"/>
      </w:pPr>
      <w:r>
        <w:separator/>
      </w:r>
    </w:p>
  </w:endnote>
  <w:endnote w:type="continuationSeparator" w:id="1">
    <w:p w:rsidR="00E275DD" w:rsidRDefault="00E275DD" w:rsidP="00507D8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D86" w:rsidRDefault="00507D86">
    <w:pPr>
      <w:pStyle w:val="Footer"/>
      <w:pBdr>
        <w:top w:val="thinThickSmallGap" w:sz="24" w:space="1" w:color="622423" w:themeColor="accent2" w:themeShade="7F"/>
      </w:pBdr>
      <w:rPr>
        <w:rFonts w:asciiTheme="majorHAnsi" w:hAnsiTheme="majorHAnsi"/>
      </w:rPr>
    </w:pPr>
    <w:r>
      <w:rPr>
        <w:b/>
        <w:noProof/>
        <w:color w:val="FF0000"/>
      </w:rPr>
      <w:t xml:space="preserve">                                                  </w:t>
    </w:r>
    <w:r w:rsidRPr="00DB397A">
      <w:rPr>
        <w:b/>
        <w:noProof/>
        <w:color w:val="FF0000"/>
      </w:rPr>
      <w:t>Back</w:t>
    </w:r>
    <w:r w:rsidRPr="00DB397A">
      <w:rPr>
        <w:b/>
        <w:color w:val="FF0000"/>
      </w:rPr>
      <w:t xml:space="preserve"> to content</w:t>
    </w:r>
    <w:r>
      <w:rPr>
        <w:b/>
        <w:color w:val="FF0000"/>
      </w:rPr>
      <w:t>s</w:t>
    </w:r>
    <w:r w:rsidRPr="00DB397A">
      <w:rPr>
        <w:b/>
        <w:color w:val="FF0000"/>
      </w:rPr>
      <w:t xml:space="preserve"> page         http://www.ethiodemographyandhealth.org/TableOfContents.html</w:t>
    </w:r>
    <w:r>
      <w:rPr>
        <w:b/>
        <w:color w:val="FF0000"/>
      </w:rPr>
      <w:t xml:space="preserve"> </w:t>
    </w:r>
    <w:r>
      <w:rPr>
        <w:rFonts w:asciiTheme="majorHAnsi" w:hAnsiTheme="majorHAnsi"/>
      </w:rPr>
      <w:ptab w:relativeTo="margin" w:alignment="right" w:leader="none"/>
    </w:r>
    <w:r>
      <w:rPr>
        <w:rFonts w:asciiTheme="majorHAnsi" w:hAnsiTheme="majorHAnsi"/>
      </w:rPr>
      <w:t xml:space="preserve">Page </w:t>
    </w:r>
    <w:fldSimple w:instr=" PAGE   \* MERGEFORMAT ">
      <w:r w:rsidR="00207954" w:rsidRPr="00207954">
        <w:rPr>
          <w:rFonts w:asciiTheme="majorHAnsi" w:hAnsiTheme="majorHAnsi"/>
          <w:noProof/>
        </w:rPr>
        <w:t>5</w:t>
      </w:r>
    </w:fldSimple>
  </w:p>
  <w:p w:rsidR="00507D86" w:rsidRDefault="00507D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5DD" w:rsidRDefault="00E275DD" w:rsidP="00507D86">
      <w:pPr>
        <w:spacing w:line="240" w:lineRule="auto"/>
      </w:pPr>
      <w:r>
        <w:separator/>
      </w:r>
    </w:p>
  </w:footnote>
  <w:footnote w:type="continuationSeparator" w:id="1">
    <w:p w:rsidR="00E275DD" w:rsidRDefault="00E275DD" w:rsidP="00507D8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E1F39"/>
    <w:multiLevelType w:val="hybridMultilevel"/>
    <w:tmpl w:val="3B32436C"/>
    <w:lvl w:ilvl="0" w:tplc="59BCD9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E2983"/>
    <w:multiLevelType w:val="hybridMultilevel"/>
    <w:tmpl w:val="DEDEAC34"/>
    <w:lvl w:ilvl="0" w:tplc="23D4CAFC">
      <w:start w:val="1"/>
      <w:numFmt w:val="decimal"/>
      <w:lvlText w:val="%1."/>
      <w:lvlJc w:val="left"/>
      <w:pPr>
        <w:ind w:left="1080" w:hanging="360"/>
      </w:pPr>
      <w:rPr>
        <w:rFonts w:cs="Arial-BoldMT"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827BEA"/>
    <w:multiLevelType w:val="hybridMultilevel"/>
    <w:tmpl w:val="0F14E392"/>
    <w:lvl w:ilvl="0" w:tplc="562676E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1C81295E"/>
    <w:multiLevelType w:val="hybridMultilevel"/>
    <w:tmpl w:val="DED2A462"/>
    <w:lvl w:ilvl="0" w:tplc="48A8DF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EC57983"/>
    <w:multiLevelType w:val="hybridMultilevel"/>
    <w:tmpl w:val="3B32436C"/>
    <w:lvl w:ilvl="0" w:tplc="59BCD9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0D1FAE"/>
    <w:multiLevelType w:val="hybridMultilevel"/>
    <w:tmpl w:val="92EC1632"/>
    <w:lvl w:ilvl="0" w:tplc="08D8A66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6C0F53"/>
    <w:multiLevelType w:val="hybridMultilevel"/>
    <w:tmpl w:val="34FE5B02"/>
    <w:lvl w:ilvl="0" w:tplc="2D9E7C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D6409"/>
    <w:rsid w:val="00006995"/>
    <w:rsid w:val="000264E2"/>
    <w:rsid w:val="00047253"/>
    <w:rsid w:val="00052232"/>
    <w:rsid w:val="00095640"/>
    <w:rsid w:val="0009712A"/>
    <w:rsid w:val="000977F6"/>
    <w:rsid w:val="000D6409"/>
    <w:rsid w:val="000E36D5"/>
    <w:rsid w:val="00133E7B"/>
    <w:rsid w:val="00143D95"/>
    <w:rsid w:val="00195827"/>
    <w:rsid w:val="00196840"/>
    <w:rsid w:val="001A4907"/>
    <w:rsid w:val="001A4FEF"/>
    <w:rsid w:val="001B4E61"/>
    <w:rsid w:val="001B7F36"/>
    <w:rsid w:val="001C12E3"/>
    <w:rsid w:val="001C458B"/>
    <w:rsid w:val="001D17AE"/>
    <w:rsid w:val="001D3D10"/>
    <w:rsid w:val="001E24B8"/>
    <w:rsid w:val="001E3CC5"/>
    <w:rsid w:val="00201880"/>
    <w:rsid w:val="00207954"/>
    <w:rsid w:val="0021142A"/>
    <w:rsid w:val="002B5F73"/>
    <w:rsid w:val="002C263A"/>
    <w:rsid w:val="002C7A1D"/>
    <w:rsid w:val="002D6E20"/>
    <w:rsid w:val="00303D9E"/>
    <w:rsid w:val="00337E7D"/>
    <w:rsid w:val="00340D3E"/>
    <w:rsid w:val="00357CE7"/>
    <w:rsid w:val="0038335B"/>
    <w:rsid w:val="003A1819"/>
    <w:rsid w:val="003C63F3"/>
    <w:rsid w:val="003C6FB9"/>
    <w:rsid w:val="003C7D5A"/>
    <w:rsid w:val="003D0A81"/>
    <w:rsid w:val="00406467"/>
    <w:rsid w:val="00424EE3"/>
    <w:rsid w:val="0042510A"/>
    <w:rsid w:val="00431764"/>
    <w:rsid w:val="004449FC"/>
    <w:rsid w:val="00450D11"/>
    <w:rsid w:val="00470E15"/>
    <w:rsid w:val="0048176A"/>
    <w:rsid w:val="00493815"/>
    <w:rsid w:val="004F6F9F"/>
    <w:rsid w:val="0050729C"/>
    <w:rsid w:val="00507D86"/>
    <w:rsid w:val="005A1680"/>
    <w:rsid w:val="005A51CE"/>
    <w:rsid w:val="005B63EA"/>
    <w:rsid w:val="005C3FEE"/>
    <w:rsid w:val="005E36C5"/>
    <w:rsid w:val="005F43AF"/>
    <w:rsid w:val="0060124D"/>
    <w:rsid w:val="00631249"/>
    <w:rsid w:val="006542C5"/>
    <w:rsid w:val="006623BE"/>
    <w:rsid w:val="00664834"/>
    <w:rsid w:val="00665417"/>
    <w:rsid w:val="006910DC"/>
    <w:rsid w:val="006B5A47"/>
    <w:rsid w:val="006C3688"/>
    <w:rsid w:val="006C7C8B"/>
    <w:rsid w:val="006D33A2"/>
    <w:rsid w:val="006E1D62"/>
    <w:rsid w:val="006F2E7C"/>
    <w:rsid w:val="006F357A"/>
    <w:rsid w:val="006F3862"/>
    <w:rsid w:val="006F53D8"/>
    <w:rsid w:val="00711B4D"/>
    <w:rsid w:val="00720DFA"/>
    <w:rsid w:val="00726C81"/>
    <w:rsid w:val="0073460F"/>
    <w:rsid w:val="0073629D"/>
    <w:rsid w:val="00746AC6"/>
    <w:rsid w:val="00753F1A"/>
    <w:rsid w:val="00756721"/>
    <w:rsid w:val="00757210"/>
    <w:rsid w:val="00770C73"/>
    <w:rsid w:val="007715EC"/>
    <w:rsid w:val="00787D71"/>
    <w:rsid w:val="007E03C5"/>
    <w:rsid w:val="007E2EA8"/>
    <w:rsid w:val="007F09DF"/>
    <w:rsid w:val="007F7690"/>
    <w:rsid w:val="00825F8C"/>
    <w:rsid w:val="0084732B"/>
    <w:rsid w:val="0087618F"/>
    <w:rsid w:val="008910F6"/>
    <w:rsid w:val="008B57E3"/>
    <w:rsid w:val="008C0D7A"/>
    <w:rsid w:val="00923405"/>
    <w:rsid w:val="009345AD"/>
    <w:rsid w:val="00975A5A"/>
    <w:rsid w:val="00977F63"/>
    <w:rsid w:val="009928BA"/>
    <w:rsid w:val="0099481D"/>
    <w:rsid w:val="009952B6"/>
    <w:rsid w:val="009A4DE7"/>
    <w:rsid w:val="009B6F83"/>
    <w:rsid w:val="009C6722"/>
    <w:rsid w:val="009D22A1"/>
    <w:rsid w:val="009D30AD"/>
    <w:rsid w:val="009D526C"/>
    <w:rsid w:val="009D7A9F"/>
    <w:rsid w:val="00A15A02"/>
    <w:rsid w:val="00A23789"/>
    <w:rsid w:val="00A40C7B"/>
    <w:rsid w:val="00A44873"/>
    <w:rsid w:val="00A6201C"/>
    <w:rsid w:val="00A64620"/>
    <w:rsid w:val="00A77613"/>
    <w:rsid w:val="00A866E0"/>
    <w:rsid w:val="00A95AFB"/>
    <w:rsid w:val="00A97DC1"/>
    <w:rsid w:val="00AB15A6"/>
    <w:rsid w:val="00AB4462"/>
    <w:rsid w:val="00AB7021"/>
    <w:rsid w:val="00AC4FA3"/>
    <w:rsid w:val="00AC5C1E"/>
    <w:rsid w:val="00B80035"/>
    <w:rsid w:val="00B93254"/>
    <w:rsid w:val="00BB680E"/>
    <w:rsid w:val="00BC6CAF"/>
    <w:rsid w:val="00BD257C"/>
    <w:rsid w:val="00BD5D60"/>
    <w:rsid w:val="00BD7BCD"/>
    <w:rsid w:val="00BE349B"/>
    <w:rsid w:val="00C32DB6"/>
    <w:rsid w:val="00C639EC"/>
    <w:rsid w:val="00C939C5"/>
    <w:rsid w:val="00CA3EE3"/>
    <w:rsid w:val="00CB4239"/>
    <w:rsid w:val="00CC3D5F"/>
    <w:rsid w:val="00CC465B"/>
    <w:rsid w:val="00CE1C7E"/>
    <w:rsid w:val="00CF62EC"/>
    <w:rsid w:val="00CF6F7C"/>
    <w:rsid w:val="00D131B1"/>
    <w:rsid w:val="00D23F3B"/>
    <w:rsid w:val="00D45C09"/>
    <w:rsid w:val="00D52A19"/>
    <w:rsid w:val="00D61212"/>
    <w:rsid w:val="00D86A71"/>
    <w:rsid w:val="00D919EA"/>
    <w:rsid w:val="00DB00C1"/>
    <w:rsid w:val="00DB0C45"/>
    <w:rsid w:val="00E00340"/>
    <w:rsid w:val="00E24771"/>
    <w:rsid w:val="00E275DD"/>
    <w:rsid w:val="00E575E7"/>
    <w:rsid w:val="00E65C0C"/>
    <w:rsid w:val="00E6616A"/>
    <w:rsid w:val="00EA0313"/>
    <w:rsid w:val="00EA0534"/>
    <w:rsid w:val="00EA0BA9"/>
    <w:rsid w:val="00EF4E11"/>
    <w:rsid w:val="00F14CD9"/>
    <w:rsid w:val="00F174AE"/>
    <w:rsid w:val="00F21673"/>
    <w:rsid w:val="00F428C0"/>
    <w:rsid w:val="00F45A7A"/>
    <w:rsid w:val="00F51176"/>
    <w:rsid w:val="00F55694"/>
    <w:rsid w:val="00F65350"/>
    <w:rsid w:val="00F91ADF"/>
    <w:rsid w:val="00F931AF"/>
    <w:rsid w:val="00FA3F33"/>
    <w:rsid w:val="00FA4286"/>
    <w:rsid w:val="00FC17CD"/>
    <w:rsid w:val="00FD3337"/>
    <w:rsid w:val="00FD4A0C"/>
    <w:rsid w:val="00FF00F5"/>
    <w:rsid w:val="00FF63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CC5"/>
    <w:pPr>
      <w:autoSpaceDE w:val="0"/>
      <w:autoSpaceDN w:val="0"/>
      <w:adjustRightInd w:val="0"/>
      <w:spacing w:after="0" w:line="360" w:lineRule="auto"/>
      <w:jc w:val="both"/>
    </w:pPr>
    <w:rPr>
      <w:rFonts w:ascii="Times" w:hAnsi="Times" w:cs="Arial-BoldMT"/>
      <w:bCs/>
      <w:sz w:val="24"/>
      <w:szCs w:val="24"/>
    </w:rPr>
  </w:style>
  <w:style w:type="paragraph" w:styleId="Heading1">
    <w:name w:val="heading 1"/>
    <w:basedOn w:val="Normal"/>
    <w:next w:val="Normal"/>
    <w:link w:val="Heading1Char"/>
    <w:uiPriority w:val="9"/>
    <w:qFormat/>
    <w:rsid w:val="001A4FEF"/>
    <w:pPr>
      <w:keepNext/>
      <w:keepLines/>
      <w:autoSpaceDE/>
      <w:autoSpaceDN/>
      <w:adjustRightInd/>
      <w:spacing w:before="480" w:line="276" w:lineRule="auto"/>
      <w:jc w:val="left"/>
      <w:outlineLvl w:val="0"/>
    </w:pPr>
    <w:rPr>
      <w:rFonts w:asciiTheme="majorHAnsi" w:eastAsiaTheme="majorEastAsia" w:hAnsiTheme="majorHAnsi" w:cstheme="majorBidi"/>
      <w:b/>
      <w:color w:val="365F91" w:themeColor="accent1" w:themeShade="BF"/>
      <w:sz w:val="28"/>
      <w:szCs w:val="28"/>
    </w:rPr>
  </w:style>
  <w:style w:type="paragraph" w:styleId="Heading2">
    <w:name w:val="heading 2"/>
    <w:basedOn w:val="Normal"/>
    <w:next w:val="Normal"/>
    <w:link w:val="Heading2Char"/>
    <w:uiPriority w:val="9"/>
    <w:unhideWhenUsed/>
    <w:qFormat/>
    <w:rsid w:val="001A4FEF"/>
    <w:pPr>
      <w:keepNext/>
      <w:keepLines/>
      <w:autoSpaceDE/>
      <w:autoSpaceDN/>
      <w:adjustRightInd/>
      <w:spacing w:before="200" w:line="276" w:lineRule="auto"/>
      <w:jc w:val="left"/>
      <w:outlineLvl w:val="1"/>
    </w:pPr>
    <w:rPr>
      <w:rFonts w:asciiTheme="majorHAnsi" w:eastAsiaTheme="majorEastAsia" w:hAnsiTheme="majorHAnsi" w:cstheme="majorBidi"/>
      <w:b/>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FE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4FEF"/>
    <w:rPr>
      <w:rFonts w:asciiTheme="majorHAnsi" w:eastAsiaTheme="majorEastAsia" w:hAnsiTheme="majorHAnsi" w:cstheme="majorBidi"/>
      <w:b/>
      <w:bCs/>
      <w:color w:val="4F81BD" w:themeColor="accent1"/>
      <w:sz w:val="26"/>
      <w:szCs w:val="26"/>
    </w:rPr>
  </w:style>
  <w:style w:type="paragraph" w:customStyle="1" w:styleId="Default">
    <w:name w:val="Default"/>
    <w:rsid w:val="000D640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D6409"/>
    <w:pPr>
      <w:autoSpaceDE/>
      <w:autoSpaceDN/>
      <w:adjustRightInd/>
      <w:spacing w:after="200" w:line="276" w:lineRule="auto"/>
      <w:ind w:left="720"/>
      <w:contextualSpacing/>
      <w:jc w:val="left"/>
    </w:pPr>
    <w:rPr>
      <w:rFonts w:asciiTheme="minorHAnsi" w:hAnsiTheme="minorHAnsi" w:cstheme="minorBidi"/>
      <w:bCs w:val="0"/>
      <w:sz w:val="22"/>
      <w:szCs w:val="22"/>
    </w:rPr>
  </w:style>
  <w:style w:type="paragraph" w:styleId="BalloonText">
    <w:name w:val="Balloon Text"/>
    <w:basedOn w:val="Normal"/>
    <w:link w:val="BalloonTextChar"/>
    <w:uiPriority w:val="99"/>
    <w:semiHidden/>
    <w:unhideWhenUsed/>
    <w:rsid w:val="00A776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613"/>
    <w:rPr>
      <w:rFonts w:ascii="Tahoma" w:hAnsi="Tahoma" w:cs="Tahoma"/>
      <w:sz w:val="16"/>
      <w:szCs w:val="16"/>
    </w:rPr>
  </w:style>
  <w:style w:type="paragraph" w:styleId="Header">
    <w:name w:val="header"/>
    <w:basedOn w:val="Normal"/>
    <w:link w:val="HeaderChar"/>
    <w:uiPriority w:val="99"/>
    <w:semiHidden/>
    <w:unhideWhenUsed/>
    <w:rsid w:val="00507D86"/>
    <w:pPr>
      <w:tabs>
        <w:tab w:val="center" w:pos="4680"/>
        <w:tab w:val="right" w:pos="9360"/>
      </w:tabs>
      <w:autoSpaceDE/>
      <w:autoSpaceDN/>
      <w:adjustRightInd/>
      <w:spacing w:line="240" w:lineRule="auto"/>
      <w:jc w:val="left"/>
    </w:pPr>
    <w:rPr>
      <w:rFonts w:asciiTheme="minorHAnsi" w:hAnsiTheme="minorHAnsi" w:cstheme="minorBidi"/>
      <w:bCs w:val="0"/>
      <w:sz w:val="22"/>
      <w:szCs w:val="22"/>
    </w:rPr>
  </w:style>
  <w:style w:type="character" w:customStyle="1" w:styleId="HeaderChar">
    <w:name w:val="Header Char"/>
    <w:basedOn w:val="DefaultParagraphFont"/>
    <w:link w:val="Header"/>
    <w:uiPriority w:val="99"/>
    <w:semiHidden/>
    <w:rsid w:val="00507D86"/>
  </w:style>
  <w:style w:type="paragraph" w:styleId="Footer">
    <w:name w:val="footer"/>
    <w:basedOn w:val="Normal"/>
    <w:link w:val="FooterChar"/>
    <w:uiPriority w:val="99"/>
    <w:unhideWhenUsed/>
    <w:rsid w:val="00507D86"/>
    <w:pPr>
      <w:tabs>
        <w:tab w:val="center" w:pos="4680"/>
        <w:tab w:val="right" w:pos="9360"/>
      </w:tabs>
      <w:autoSpaceDE/>
      <w:autoSpaceDN/>
      <w:adjustRightInd/>
      <w:spacing w:line="240" w:lineRule="auto"/>
      <w:jc w:val="left"/>
    </w:pPr>
    <w:rPr>
      <w:rFonts w:asciiTheme="minorHAnsi" w:hAnsiTheme="minorHAnsi" w:cstheme="minorBidi"/>
      <w:bCs w:val="0"/>
      <w:sz w:val="22"/>
      <w:szCs w:val="22"/>
    </w:rPr>
  </w:style>
  <w:style w:type="character" w:customStyle="1" w:styleId="FooterChar">
    <w:name w:val="Footer Char"/>
    <w:basedOn w:val="DefaultParagraphFont"/>
    <w:link w:val="Footer"/>
    <w:uiPriority w:val="99"/>
    <w:rsid w:val="00507D86"/>
  </w:style>
  <w:style w:type="character" w:styleId="Hyperlink">
    <w:name w:val="Hyperlink"/>
    <w:basedOn w:val="DefaultParagraphFont"/>
    <w:uiPriority w:val="99"/>
    <w:unhideWhenUsed/>
    <w:rsid w:val="008B57E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399571">
      <w:bodyDiv w:val="1"/>
      <w:marLeft w:val="0"/>
      <w:marRight w:val="0"/>
      <w:marTop w:val="0"/>
      <w:marBottom w:val="0"/>
      <w:divBdr>
        <w:top w:val="none" w:sz="0" w:space="0" w:color="auto"/>
        <w:left w:val="none" w:sz="0" w:space="0" w:color="auto"/>
        <w:bottom w:val="none" w:sz="0" w:space="0" w:color="auto"/>
        <w:right w:val="none" w:sz="0" w:space="0" w:color="auto"/>
      </w:divBdr>
    </w:div>
    <w:div w:id="436289631">
      <w:bodyDiv w:val="1"/>
      <w:marLeft w:val="0"/>
      <w:marRight w:val="0"/>
      <w:marTop w:val="0"/>
      <w:marBottom w:val="0"/>
      <w:divBdr>
        <w:top w:val="none" w:sz="0" w:space="0" w:color="auto"/>
        <w:left w:val="none" w:sz="0" w:space="0" w:color="auto"/>
        <w:bottom w:val="none" w:sz="0" w:space="0" w:color="auto"/>
        <w:right w:val="none" w:sz="0" w:space="0" w:color="auto"/>
      </w:divBdr>
    </w:div>
    <w:div w:id="529492486">
      <w:bodyDiv w:val="1"/>
      <w:marLeft w:val="0"/>
      <w:marRight w:val="0"/>
      <w:marTop w:val="0"/>
      <w:marBottom w:val="0"/>
      <w:divBdr>
        <w:top w:val="none" w:sz="0" w:space="0" w:color="auto"/>
        <w:left w:val="none" w:sz="0" w:space="0" w:color="auto"/>
        <w:bottom w:val="none" w:sz="0" w:space="0" w:color="auto"/>
        <w:right w:val="none" w:sz="0" w:space="0" w:color="auto"/>
      </w:divBdr>
    </w:div>
    <w:div w:id="670914328">
      <w:bodyDiv w:val="1"/>
      <w:marLeft w:val="0"/>
      <w:marRight w:val="0"/>
      <w:marTop w:val="0"/>
      <w:marBottom w:val="0"/>
      <w:divBdr>
        <w:top w:val="none" w:sz="0" w:space="0" w:color="auto"/>
        <w:left w:val="none" w:sz="0" w:space="0" w:color="auto"/>
        <w:bottom w:val="none" w:sz="0" w:space="0" w:color="auto"/>
        <w:right w:val="none" w:sz="0" w:space="0" w:color="auto"/>
      </w:divBdr>
    </w:div>
    <w:div w:id="722751330">
      <w:bodyDiv w:val="1"/>
      <w:marLeft w:val="0"/>
      <w:marRight w:val="0"/>
      <w:marTop w:val="0"/>
      <w:marBottom w:val="0"/>
      <w:divBdr>
        <w:top w:val="none" w:sz="0" w:space="0" w:color="auto"/>
        <w:left w:val="none" w:sz="0" w:space="0" w:color="auto"/>
        <w:bottom w:val="none" w:sz="0" w:space="0" w:color="auto"/>
        <w:right w:val="none" w:sz="0" w:space="0" w:color="auto"/>
      </w:divBdr>
    </w:div>
    <w:div w:id="950864385">
      <w:bodyDiv w:val="1"/>
      <w:marLeft w:val="0"/>
      <w:marRight w:val="0"/>
      <w:marTop w:val="0"/>
      <w:marBottom w:val="0"/>
      <w:divBdr>
        <w:top w:val="none" w:sz="0" w:space="0" w:color="auto"/>
        <w:left w:val="none" w:sz="0" w:space="0" w:color="auto"/>
        <w:bottom w:val="none" w:sz="0" w:space="0" w:color="auto"/>
        <w:right w:val="none" w:sz="0" w:space="0" w:color="auto"/>
      </w:divBdr>
    </w:div>
    <w:div w:id="1104686677">
      <w:bodyDiv w:val="1"/>
      <w:marLeft w:val="0"/>
      <w:marRight w:val="0"/>
      <w:marTop w:val="0"/>
      <w:marBottom w:val="0"/>
      <w:divBdr>
        <w:top w:val="none" w:sz="0" w:space="0" w:color="auto"/>
        <w:left w:val="none" w:sz="0" w:space="0" w:color="auto"/>
        <w:bottom w:val="none" w:sz="0" w:space="0" w:color="auto"/>
        <w:right w:val="none" w:sz="0" w:space="0" w:color="auto"/>
      </w:divBdr>
    </w:div>
    <w:div w:id="1153332702">
      <w:bodyDiv w:val="1"/>
      <w:marLeft w:val="0"/>
      <w:marRight w:val="0"/>
      <w:marTop w:val="0"/>
      <w:marBottom w:val="0"/>
      <w:divBdr>
        <w:top w:val="none" w:sz="0" w:space="0" w:color="auto"/>
        <w:left w:val="none" w:sz="0" w:space="0" w:color="auto"/>
        <w:bottom w:val="none" w:sz="0" w:space="0" w:color="auto"/>
        <w:right w:val="none" w:sz="0" w:space="0" w:color="auto"/>
      </w:divBdr>
    </w:div>
    <w:div w:id="1165122737">
      <w:bodyDiv w:val="1"/>
      <w:marLeft w:val="0"/>
      <w:marRight w:val="0"/>
      <w:marTop w:val="0"/>
      <w:marBottom w:val="0"/>
      <w:divBdr>
        <w:top w:val="none" w:sz="0" w:space="0" w:color="auto"/>
        <w:left w:val="none" w:sz="0" w:space="0" w:color="auto"/>
        <w:bottom w:val="none" w:sz="0" w:space="0" w:color="auto"/>
        <w:right w:val="none" w:sz="0" w:space="0" w:color="auto"/>
      </w:divBdr>
    </w:div>
    <w:div w:id="1499271254">
      <w:bodyDiv w:val="1"/>
      <w:marLeft w:val="0"/>
      <w:marRight w:val="0"/>
      <w:marTop w:val="0"/>
      <w:marBottom w:val="0"/>
      <w:divBdr>
        <w:top w:val="none" w:sz="0" w:space="0" w:color="auto"/>
        <w:left w:val="none" w:sz="0" w:space="0" w:color="auto"/>
        <w:bottom w:val="none" w:sz="0" w:space="0" w:color="auto"/>
        <w:right w:val="none" w:sz="0" w:space="0" w:color="auto"/>
      </w:divBdr>
    </w:div>
    <w:div w:id="1687707743">
      <w:bodyDiv w:val="1"/>
      <w:marLeft w:val="0"/>
      <w:marRight w:val="0"/>
      <w:marTop w:val="0"/>
      <w:marBottom w:val="0"/>
      <w:divBdr>
        <w:top w:val="none" w:sz="0" w:space="0" w:color="auto"/>
        <w:left w:val="none" w:sz="0" w:space="0" w:color="auto"/>
        <w:bottom w:val="none" w:sz="0" w:space="0" w:color="auto"/>
        <w:right w:val="none" w:sz="0" w:space="0" w:color="auto"/>
      </w:divBdr>
    </w:div>
    <w:div w:id="1927108679">
      <w:bodyDiv w:val="1"/>
      <w:marLeft w:val="0"/>
      <w:marRight w:val="0"/>
      <w:marTop w:val="0"/>
      <w:marBottom w:val="0"/>
      <w:divBdr>
        <w:top w:val="none" w:sz="0" w:space="0" w:color="auto"/>
        <w:left w:val="none" w:sz="0" w:space="0" w:color="auto"/>
        <w:bottom w:val="none" w:sz="0" w:space="0" w:color="auto"/>
        <w:right w:val="none" w:sz="0" w:space="0" w:color="auto"/>
      </w:divBdr>
    </w:div>
    <w:div w:id="207927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hart" Target="charts/chart5.xml"/><Relationship Id="rId17" Type="http://schemas.openxmlformats.org/officeDocument/2006/relationships/hyperlink" Target="http://www.csa.gov.et/" TargetMode="Externa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ocuments\Afar\Afar_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wner\Documents\Helmut_ART\HarariPopulation_Pyramid2010Urb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wner\Documents\Helmut_ART\HarariPopulation_Pyramid2010Urb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wner\Documents\Helmut_ART\HarariPopulation_Pyramid2010Urb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wner\Documents\Helmut_ART\HarariPopulation_Pyramid2010Urb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wner\Documents\Helmut_ART\HarariPopulation_Pyramid2010Urb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wner\Documents\Helmut_ART\HarariPopulation_Pyramid2010Urb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wner\Documents\Afar\Afar_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wner\Documents\Aynalem\EthioDemoHealth\Hara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Figure 1.    Population Size </a:t>
            </a:r>
            <a:r>
              <a:rPr lang="en-US" sz="1400" baseline="0"/>
              <a:t> (1984, 1994, 2007)</a:t>
            </a:r>
            <a:endParaRPr lang="en-US" sz="1400"/>
          </a:p>
        </c:rich>
      </c:tx>
    </c:title>
    <c:plotArea>
      <c:layout/>
      <c:lineChart>
        <c:grouping val="standard"/>
        <c:ser>
          <c:idx val="0"/>
          <c:order val="0"/>
          <c:tx>
            <c:v>Population size</c:v>
          </c:tx>
          <c:cat>
            <c:strRef>
              <c:f>Sheet1!$M$4:$M$6</c:f>
              <c:strCache>
                <c:ptCount val="3"/>
                <c:pt idx="0">
                  <c:v>1984 Census</c:v>
                </c:pt>
                <c:pt idx="1">
                  <c:v>1994 Census</c:v>
                </c:pt>
                <c:pt idx="2">
                  <c:v>2007 Census</c:v>
                </c:pt>
              </c:strCache>
            </c:strRef>
          </c:cat>
          <c:val>
            <c:numRef>
              <c:f>Sheet1!$N$4:$N$6</c:f>
              <c:numCache>
                <c:formatCode>General</c:formatCode>
                <c:ptCount val="3"/>
                <c:pt idx="0">
                  <c:v>63070</c:v>
                </c:pt>
                <c:pt idx="1">
                  <c:v>131139</c:v>
                </c:pt>
                <c:pt idx="2">
                  <c:v>183415</c:v>
                </c:pt>
              </c:numCache>
            </c:numRef>
          </c:val>
        </c:ser>
        <c:marker val="1"/>
        <c:axId val="73153152"/>
        <c:axId val="74276224"/>
      </c:lineChart>
      <c:catAx>
        <c:axId val="73153152"/>
        <c:scaling>
          <c:orientation val="minMax"/>
        </c:scaling>
        <c:axPos val="b"/>
        <c:majorTickMark val="none"/>
        <c:tickLblPos val="nextTo"/>
        <c:crossAx val="74276224"/>
        <c:crosses val="autoZero"/>
        <c:auto val="1"/>
        <c:lblAlgn val="ctr"/>
        <c:lblOffset val="100"/>
      </c:catAx>
      <c:valAx>
        <c:axId val="74276224"/>
        <c:scaling>
          <c:orientation val="minMax"/>
        </c:scaling>
        <c:axPos val="l"/>
        <c:majorGridlines/>
        <c:numFmt formatCode="General" sourceLinked="1"/>
        <c:majorTickMark val="none"/>
        <c:tickLblPos val="nextTo"/>
        <c:crossAx val="73153152"/>
        <c:crosses val="autoZero"/>
        <c:crossBetween val="between"/>
      </c:valAx>
      <c:dTable>
        <c:showHorzBorder val="1"/>
        <c:showVertBorder val="1"/>
        <c:showOutline val="1"/>
        <c:showKeys val="1"/>
        <c:txPr>
          <a:bodyPr/>
          <a:lstStyle/>
          <a:p>
            <a:pPr rtl="0">
              <a:defRPr sz="1050" b="1"/>
            </a:pPr>
            <a:endParaRPr lang="en-US"/>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200"/>
              <a:t>Figure</a:t>
            </a:r>
            <a:r>
              <a:rPr lang="en-US" sz="1200" baseline="0"/>
              <a:t> 2.     Percentage of Rural and Urban Population by Age Group, 2007 (males)</a:t>
            </a:r>
            <a:endParaRPr lang="en-US" sz="1200"/>
          </a:p>
        </c:rich>
      </c:tx>
    </c:title>
    <c:plotArea>
      <c:layout/>
      <c:barChart>
        <c:barDir val="col"/>
        <c:grouping val="clustered"/>
        <c:ser>
          <c:idx val="0"/>
          <c:order val="0"/>
          <c:tx>
            <c:v>% urban by age</c:v>
          </c:tx>
          <c:cat>
            <c:strRef>
              <c:f>Sheet1!$G$34:$G$49</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c:v>
                </c:pt>
              </c:strCache>
            </c:strRef>
          </c:cat>
          <c:val>
            <c:numRef>
              <c:f>Sheet1!$H$34:$H$49</c:f>
              <c:numCache>
                <c:formatCode>0.0</c:formatCode>
                <c:ptCount val="16"/>
                <c:pt idx="0">
                  <c:v>4.6098523487166805</c:v>
                </c:pt>
                <c:pt idx="1">
                  <c:v>5.1095793020308493</c:v>
                </c:pt>
                <c:pt idx="2">
                  <c:v>4.995208803437297</c:v>
                </c:pt>
                <c:pt idx="3">
                  <c:v>6.498511122788579</c:v>
                </c:pt>
                <c:pt idx="4">
                  <c:v>6.0070270882919639</c:v>
                </c:pt>
                <c:pt idx="5">
                  <c:v>5.8689581980979435</c:v>
                </c:pt>
                <c:pt idx="6">
                  <c:v>4.6520973076566383</c:v>
                </c:pt>
                <c:pt idx="7">
                  <c:v>3.6907669005594883</c:v>
                </c:pt>
                <c:pt idx="8">
                  <c:v>2.8489588163168578</c:v>
                </c:pt>
                <c:pt idx="9">
                  <c:v>1.966966502838656</c:v>
                </c:pt>
                <c:pt idx="10">
                  <c:v>1.5146363327254178</c:v>
                </c:pt>
                <c:pt idx="11">
                  <c:v>0.77071290944123316</c:v>
                </c:pt>
                <c:pt idx="12">
                  <c:v>0.91084252933963916</c:v>
                </c:pt>
                <c:pt idx="13">
                  <c:v>0.56979176326337222</c:v>
                </c:pt>
                <c:pt idx="14">
                  <c:v>0.5739132226721485</c:v>
                </c:pt>
                <c:pt idx="15">
                  <c:v>0.6697371539262057</c:v>
                </c:pt>
              </c:numCache>
            </c:numRef>
          </c:val>
        </c:ser>
        <c:ser>
          <c:idx val="1"/>
          <c:order val="1"/>
          <c:tx>
            <c:v>% rural by age</c:v>
          </c:tx>
          <c:cat>
            <c:strRef>
              <c:f>Sheet1!$G$34:$G$49</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c:v>
                </c:pt>
              </c:strCache>
            </c:strRef>
          </c:cat>
          <c:val>
            <c:numRef>
              <c:f>Sheet1!$I$34:$I$49</c:f>
              <c:numCache>
                <c:formatCode>0.0</c:formatCode>
                <c:ptCount val="16"/>
                <c:pt idx="0">
                  <c:v>8.802217806703398</c:v>
                </c:pt>
                <c:pt idx="1">
                  <c:v>8.5380798838744933</c:v>
                </c:pt>
                <c:pt idx="2">
                  <c:v>6.1501302842457157</c:v>
                </c:pt>
                <c:pt idx="3">
                  <c:v>5.0590740894975426</c:v>
                </c:pt>
                <c:pt idx="4">
                  <c:v>4.3630349685295071</c:v>
                </c:pt>
                <c:pt idx="5">
                  <c:v>4.0881887515318809</c:v>
                </c:pt>
                <c:pt idx="6">
                  <c:v>3.0185491451211823</c:v>
                </c:pt>
                <c:pt idx="7">
                  <c:v>2.4950325413161685</c:v>
                </c:pt>
                <c:pt idx="8">
                  <c:v>1.8215998191488096</c:v>
                </c:pt>
                <c:pt idx="9">
                  <c:v>1.2623889014479999</c:v>
                </c:pt>
                <c:pt idx="10">
                  <c:v>1.171963306245315</c:v>
                </c:pt>
                <c:pt idx="11">
                  <c:v>0.51875736195224031</c:v>
                </c:pt>
                <c:pt idx="12">
                  <c:v>0.83881637655121544</c:v>
                </c:pt>
                <c:pt idx="13">
                  <c:v>0.42476233535997743</c:v>
                </c:pt>
                <c:pt idx="14">
                  <c:v>0.31529977274620152</c:v>
                </c:pt>
                <c:pt idx="15">
                  <c:v>0.45926683879258035</c:v>
                </c:pt>
              </c:numCache>
            </c:numRef>
          </c:val>
        </c:ser>
        <c:axId val="74595712"/>
        <c:axId val="75339264"/>
      </c:barChart>
      <c:catAx>
        <c:axId val="74595712"/>
        <c:scaling>
          <c:orientation val="minMax"/>
        </c:scaling>
        <c:axPos val="b"/>
        <c:majorTickMark val="none"/>
        <c:tickLblPos val="nextTo"/>
        <c:crossAx val="75339264"/>
        <c:crosses val="autoZero"/>
        <c:auto val="1"/>
        <c:lblAlgn val="ctr"/>
        <c:lblOffset val="100"/>
      </c:catAx>
      <c:valAx>
        <c:axId val="75339264"/>
        <c:scaling>
          <c:orientation val="minMax"/>
        </c:scaling>
        <c:axPos val="l"/>
        <c:majorGridlines/>
        <c:title>
          <c:tx>
            <c:rich>
              <a:bodyPr rot="0" vert="horz"/>
              <a:lstStyle/>
              <a:p>
                <a:pPr>
                  <a:defRPr/>
                </a:pPr>
                <a:r>
                  <a:rPr lang="en-US"/>
                  <a:t>Age</a:t>
                </a:r>
                <a:r>
                  <a:rPr lang="en-US" baseline="0"/>
                  <a:t> group </a:t>
                </a:r>
                <a:endParaRPr lang="en-US"/>
              </a:p>
            </c:rich>
          </c:tx>
          <c:layout>
            <c:manualLayout>
              <c:xMode val="edge"/>
              <c:yMode val="edge"/>
              <c:x val="4.0268456375838917E-2"/>
              <c:y val="0.8292116933659156"/>
            </c:manualLayout>
          </c:layout>
        </c:title>
        <c:numFmt formatCode="0.0" sourceLinked="1"/>
        <c:majorTickMark val="none"/>
        <c:tickLblPos val="nextTo"/>
        <c:crossAx val="74595712"/>
        <c:crosses val="autoZero"/>
        <c:crossBetween val="between"/>
      </c:valAx>
      <c:dTable>
        <c:showHorzBorder val="1"/>
        <c:showVertBorder val="1"/>
        <c:showOutline val="1"/>
        <c:showKeys val="1"/>
        <c:txPr>
          <a:bodyPr/>
          <a:lstStyle/>
          <a:p>
            <a:pPr rtl="0">
              <a:defRPr sz="900"/>
            </a:pPr>
            <a:endParaRPr lang="en-US"/>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200"/>
              <a:t>Figure</a:t>
            </a:r>
            <a:r>
              <a:rPr lang="en-US" sz="1200" baseline="0"/>
              <a:t> 3.    Percentage of Rural and Urban Population by Age Group , 2007 (females)</a:t>
            </a:r>
            <a:endParaRPr lang="en-US" sz="1200"/>
          </a:p>
        </c:rich>
      </c:tx>
    </c:title>
    <c:plotArea>
      <c:layout/>
      <c:barChart>
        <c:barDir val="col"/>
        <c:grouping val="clustered"/>
        <c:ser>
          <c:idx val="0"/>
          <c:order val="0"/>
          <c:tx>
            <c:v>% urban by age</c:v>
          </c:tx>
          <c:cat>
            <c:strRef>
              <c:f>Sheet1!$G$34:$G$49</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c:v>
                </c:pt>
              </c:strCache>
            </c:strRef>
          </c:cat>
          <c:val>
            <c:numRef>
              <c:f>Sheet1!$H$34:$H$49</c:f>
              <c:numCache>
                <c:formatCode>0.0</c:formatCode>
                <c:ptCount val="16"/>
                <c:pt idx="0">
                  <c:v>4.6098523487166805</c:v>
                </c:pt>
                <c:pt idx="1">
                  <c:v>5.1095793020308493</c:v>
                </c:pt>
                <c:pt idx="2">
                  <c:v>4.995208803437297</c:v>
                </c:pt>
                <c:pt idx="3">
                  <c:v>6.498511122788579</c:v>
                </c:pt>
                <c:pt idx="4">
                  <c:v>6.0070270882919639</c:v>
                </c:pt>
                <c:pt idx="5">
                  <c:v>5.8689581980979435</c:v>
                </c:pt>
                <c:pt idx="6">
                  <c:v>4.6520973076566383</c:v>
                </c:pt>
                <c:pt idx="7">
                  <c:v>3.6907669005594883</c:v>
                </c:pt>
                <c:pt idx="8">
                  <c:v>2.8489588163168578</c:v>
                </c:pt>
                <c:pt idx="9">
                  <c:v>1.966966502838656</c:v>
                </c:pt>
                <c:pt idx="10">
                  <c:v>1.5146363327254178</c:v>
                </c:pt>
                <c:pt idx="11">
                  <c:v>0.77071290944123316</c:v>
                </c:pt>
                <c:pt idx="12">
                  <c:v>0.91084252933963916</c:v>
                </c:pt>
                <c:pt idx="13">
                  <c:v>0.56979176326337222</c:v>
                </c:pt>
                <c:pt idx="14">
                  <c:v>0.5739132226721485</c:v>
                </c:pt>
                <c:pt idx="15">
                  <c:v>0.6697371539262057</c:v>
                </c:pt>
              </c:numCache>
            </c:numRef>
          </c:val>
        </c:ser>
        <c:ser>
          <c:idx val="1"/>
          <c:order val="1"/>
          <c:tx>
            <c:v>% rural by age</c:v>
          </c:tx>
          <c:cat>
            <c:strRef>
              <c:f>Sheet1!$G$34:$G$49</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c:v>
                </c:pt>
              </c:strCache>
            </c:strRef>
          </c:cat>
          <c:val>
            <c:numRef>
              <c:f>Sheet1!$I$34:$I$49</c:f>
              <c:numCache>
                <c:formatCode>0.0</c:formatCode>
                <c:ptCount val="16"/>
                <c:pt idx="0">
                  <c:v>8.802217806703398</c:v>
                </c:pt>
                <c:pt idx="1">
                  <c:v>8.5380798838744933</c:v>
                </c:pt>
                <c:pt idx="2">
                  <c:v>6.1501302842457157</c:v>
                </c:pt>
                <c:pt idx="3">
                  <c:v>5.0590740894975426</c:v>
                </c:pt>
                <c:pt idx="4">
                  <c:v>4.3630349685295071</c:v>
                </c:pt>
                <c:pt idx="5">
                  <c:v>4.0881887515318809</c:v>
                </c:pt>
                <c:pt idx="6">
                  <c:v>3.0185491451211823</c:v>
                </c:pt>
                <c:pt idx="7">
                  <c:v>2.4950325413161685</c:v>
                </c:pt>
                <c:pt idx="8">
                  <c:v>1.8215998191488096</c:v>
                </c:pt>
                <c:pt idx="9">
                  <c:v>1.2623889014479999</c:v>
                </c:pt>
                <c:pt idx="10">
                  <c:v>1.171963306245315</c:v>
                </c:pt>
                <c:pt idx="11">
                  <c:v>0.51875736195224031</c:v>
                </c:pt>
                <c:pt idx="12">
                  <c:v>0.83881637655121544</c:v>
                </c:pt>
                <c:pt idx="13">
                  <c:v>0.42476233535997743</c:v>
                </c:pt>
                <c:pt idx="14">
                  <c:v>0.31529977274620152</c:v>
                </c:pt>
                <c:pt idx="15">
                  <c:v>0.45926683879258035</c:v>
                </c:pt>
              </c:numCache>
            </c:numRef>
          </c:val>
        </c:ser>
        <c:axId val="76040064"/>
        <c:axId val="76303744"/>
      </c:barChart>
      <c:catAx>
        <c:axId val="76040064"/>
        <c:scaling>
          <c:orientation val="minMax"/>
        </c:scaling>
        <c:axPos val="b"/>
        <c:majorTickMark val="none"/>
        <c:tickLblPos val="nextTo"/>
        <c:crossAx val="76303744"/>
        <c:crosses val="autoZero"/>
        <c:auto val="1"/>
        <c:lblAlgn val="ctr"/>
        <c:lblOffset val="100"/>
      </c:catAx>
      <c:valAx>
        <c:axId val="76303744"/>
        <c:scaling>
          <c:orientation val="minMax"/>
        </c:scaling>
        <c:axPos val="l"/>
        <c:majorGridlines/>
        <c:title>
          <c:tx>
            <c:rich>
              <a:bodyPr rot="0" vert="horz"/>
              <a:lstStyle/>
              <a:p>
                <a:pPr>
                  <a:defRPr/>
                </a:pPr>
                <a:r>
                  <a:rPr lang="en-US"/>
                  <a:t>Age group</a:t>
                </a:r>
              </a:p>
            </c:rich>
          </c:tx>
          <c:layout>
            <c:manualLayout>
              <c:xMode val="edge"/>
              <c:yMode val="edge"/>
              <c:x val="5.8971592952175474E-2"/>
              <c:y val="0.84624257494129018"/>
            </c:manualLayout>
          </c:layout>
        </c:title>
        <c:numFmt formatCode="0.0" sourceLinked="1"/>
        <c:majorTickMark val="none"/>
        <c:tickLblPos val="nextTo"/>
        <c:crossAx val="76040064"/>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manualLayout>
          <c:layoutTarget val="inner"/>
          <c:xMode val="edge"/>
          <c:yMode val="edge"/>
          <c:x val="4.7808764940239119E-2"/>
          <c:y val="4.4178374761978285E-2"/>
          <c:w val="0.91899070385126158"/>
          <c:h val="0.86601487314085801"/>
        </c:manualLayout>
      </c:layout>
      <c:barChart>
        <c:barDir val="bar"/>
        <c:grouping val="clustered"/>
        <c:ser>
          <c:idx val="0"/>
          <c:order val="0"/>
          <c:val>
            <c:numRef>
              <c:f>Sheet1!$D$3</c:f>
              <c:numCache>
                <c:formatCode>0.0</c:formatCode>
                <c:ptCount val="1"/>
                <c:pt idx="0">
                  <c:v>9.0389900888788368</c:v>
                </c:pt>
              </c:numCache>
            </c:numRef>
          </c:val>
        </c:ser>
        <c:ser>
          <c:idx val="1"/>
          <c:order val="1"/>
          <c:val>
            <c:numRef>
              <c:f>Sheet1!$D$4</c:f>
              <c:numCache>
                <c:formatCode>0.0</c:formatCode>
                <c:ptCount val="1"/>
                <c:pt idx="0">
                  <c:v>9.1746284816828592</c:v>
                </c:pt>
              </c:numCache>
            </c:numRef>
          </c:val>
        </c:ser>
        <c:ser>
          <c:idx val="2"/>
          <c:order val="2"/>
          <c:val>
            <c:numRef>
              <c:f>Sheet1!$D$5</c:f>
              <c:numCache>
                <c:formatCode>0.0</c:formatCode>
                <c:ptCount val="1"/>
                <c:pt idx="0">
                  <c:v>6.9294561376372741</c:v>
                </c:pt>
              </c:numCache>
            </c:numRef>
          </c:val>
        </c:ser>
        <c:ser>
          <c:idx val="3"/>
          <c:order val="3"/>
          <c:val>
            <c:numRef>
              <c:f>Sheet1!$D$6</c:f>
              <c:numCache>
                <c:formatCode>0.0</c:formatCode>
                <c:ptCount val="1"/>
                <c:pt idx="0">
                  <c:v>5.1090461289516584</c:v>
                </c:pt>
              </c:numCache>
            </c:numRef>
          </c:val>
        </c:ser>
        <c:ser>
          <c:idx val="4"/>
          <c:order val="4"/>
          <c:val>
            <c:numRef>
              <c:f>Sheet1!$D$7</c:f>
              <c:numCache>
                <c:formatCode>0.0</c:formatCode>
                <c:ptCount val="1"/>
                <c:pt idx="0">
                  <c:v>3.7943055671231587</c:v>
                </c:pt>
              </c:numCache>
            </c:numRef>
          </c:val>
        </c:ser>
        <c:ser>
          <c:idx val="5"/>
          <c:order val="5"/>
          <c:val>
            <c:numRef>
              <c:f>Sheet1!$D$8</c:f>
              <c:numCache>
                <c:formatCode>0.0</c:formatCode>
                <c:ptCount val="1"/>
                <c:pt idx="0">
                  <c:v>3.4694873106714117</c:v>
                </c:pt>
              </c:numCache>
            </c:numRef>
          </c:val>
        </c:ser>
        <c:ser>
          <c:idx val="6"/>
          <c:order val="6"/>
          <c:val>
            <c:numRef>
              <c:f>Sheet1!$D$9</c:f>
              <c:numCache>
                <c:formatCode>0.0</c:formatCode>
                <c:ptCount val="1"/>
                <c:pt idx="0">
                  <c:v>3.2374742703487347</c:v>
                </c:pt>
              </c:numCache>
            </c:numRef>
          </c:val>
        </c:ser>
        <c:ser>
          <c:idx val="7"/>
          <c:order val="7"/>
          <c:val>
            <c:numRef>
              <c:f>Sheet1!$D$10</c:f>
              <c:numCache>
                <c:formatCode>0.0</c:formatCode>
                <c:ptCount val="1"/>
                <c:pt idx="0">
                  <c:v>2.6044951039299438</c:v>
                </c:pt>
              </c:numCache>
            </c:numRef>
          </c:val>
        </c:ser>
        <c:ser>
          <c:idx val="8"/>
          <c:order val="8"/>
          <c:val>
            <c:numRef>
              <c:f>Sheet1!$D$11</c:f>
              <c:numCache>
                <c:formatCode>0.0</c:formatCode>
                <c:ptCount val="1"/>
                <c:pt idx="0">
                  <c:v>2.2451723440455948</c:v>
                </c:pt>
              </c:numCache>
            </c:numRef>
          </c:val>
        </c:ser>
        <c:ser>
          <c:idx val="9"/>
          <c:order val="9"/>
          <c:val>
            <c:numRef>
              <c:f>Sheet1!$D$12</c:f>
              <c:numCache>
                <c:formatCode>0.0</c:formatCode>
                <c:ptCount val="1"/>
                <c:pt idx="0">
                  <c:v>1.4361012290742079</c:v>
                </c:pt>
              </c:numCache>
            </c:numRef>
          </c:val>
        </c:ser>
        <c:ser>
          <c:idx val="10"/>
          <c:order val="10"/>
          <c:val>
            <c:numRef>
              <c:f>Sheet1!$D$13</c:f>
              <c:numCache>
                <c:formatCode>0.0</c:formatCode>
                <c:ptCount val="1"/>
                <c:pt idx="0">
                  <c:v>1.1969493259723727</c:v>
                </c:pt>
              </c:numCache>
            </c:numRef>
          </c:val>
        </c:ser>
        <c:ser>
          <c:idx val="11"/>
          <c:order val="11"/>
          <c:val>
            <c:numRef>
              <c:f>Sheet1!$D$14</c:f>
              <c:numCache>
                <c:formatCode>0.0</c:formatCode>
                <c:ptCount val="1"/>
                <c:pt idx="0">
                  <c:v>0.51994717241543453</c:v>
                </c:pt>
              </c:numCache>
            </c:numRef>
          </c:val>
        </c:ser>
        <c:ser>
          <c:idx val="12"/>
          <c:order val="12"/>
          <c:val>
            <c:numRef>
              <c:f>Sheet1!$D$15</c:f>
              <c:numCache>
                <c:formatCode>0.0</c:formatCode>
                <c:ptCount val="1"/>
                <c:pt idx="0">
                  <c:v>0.84714504979356819</c:v>
                </c:pt>
              </c:numCache>
            </c:numRef>
          </c:val>
        </c:ser>
        <c:ser>
          <c:idx val="13"/>
          <c:order val="13"/>
          <c:val>
            <c:numRef>
              <c:f>Sheet1!$D$16</c:f>
              <c:numCache>
                <c:formatCode>0.0</c:formatCode>
                <c:ptCount val="1"/>
                <c:pt idx="0">
                  <c:v>0.39263745285376039</c:v>
                </c:pt>
              </c:numCache>
            </c:numRef>
          </c:val>
        </c:ser>
        <c:ser>
          <c:idx val="14"/>
          <c:order val="14"/>
          <c:val>
            <c:numRef>
              <c:f>Sheet1!$D$17</c:f>
              <c:numCache>
                <c:formatCode>0.0</c:formatCode>
                <c:ptCount val="1"/>
                <c:pt idx="0">
                  <c:v>0.34147560293645246</c:v>
                </c:pt>
              </c:numCache>
            </c:numRef>
          </c:val>
        </c:ser>
        <c:ser>
          <c:idx val="15"/>
          <c:order val="15"/>
          <c:val>
            <c:numRef>
              <c:f>Sheet1!$D$18</c:f>
              <c:numCache>
                <c:formatCode>0.0</c:formatCode>
                <c:ptCount val="1"/>
                <c:pt idx="0">
                  <c:v>0.33552655062048642</c:v>
                </c:pt>
              </c:numCache>
            </c:numRef>
          </c:val>
        </c:ser>
        <c:ser>
          <c:idx val="16"/>
          <c:order val="16"/>
          <c:val>
            <c:numRef>
              <c:f>Sheet1!$D$19</c:f>
              <c:numCache>
                <c:formatCode>General</c:formatCode>
                <c:ptCount val="1"/>
                <c:pt idx="0">
                  <c:v>0</c:v>
                </c:pt>
              </c:numCache>
            </c:numRef>
          </c:val>
        </c:ser>
        <c:axId val="114708480"/>
        <c:axId val="114710400"/>
      </c:barChart>
      <c:catAx>
        <c:axId val="114708480"/>
        <c:scaling>
          <c:orientation val="minMax"/>
        </c:scaling>
        <c:delete val="1"/>
        <c:axPos val="r"/>
        <c:title>
          <c:tx>
            <c:rich>
              <a:bodyPr/>
              <a:lstStyle/>
              <a:p>
                <a:pPr>
                  <a:defRPr/>
                </a:pPr>
                <a:r>
                  <a:rPr lang="en-US"/>
                  <a:t> </a:t>
                </a:r>
              </a:p>
            </c:rich>
          </c:tx>
          <c:layout>
            <c:manualLayout>
              <c:xMode val="edge"/>
              <c:yMode val="edge"/>
              <c:x val="0.90039840637450286"/>
              <c:y val="0.52696207091760516"/>
            </c:manualLayout>
          </c:layout>
        </c:title>
        <c:tickLblPos val="none"/>
        <c:crossAx val="114710400"/>
        <c:crosses val="autoZero"/>
        <c:auto val="1"/>
        <c:lblAlgn val="ctr"/>
        <c:lblOffset val="100"/>
      </c:catAx>
      <c:valAx>
        <c:axId val="114710400"/>
        <c:scaling>
          <c:orientation val="maxMin"/>
        </c:scaling>
        <c:axPos val="b"/>
        <c:majorGridlines/>
        <c:title>
          <c:tx>
            <c:rich>
              <a:bodyPr/>
              <a:lstStyle/>
              <a:p>
                <a:pPr>
                  <a:defRPr/>
                </a:pPr>
                <a:r>
                  <a:rPr lang="en-US"/>
                  <a:t>Percentage (males)</a:t>
                </a:r>
              </a:p>
            </c:rich>
          </c:tx>
          <c:layout>
            <c:manualLayout>
              <c:xMode val="edge"/>
              <c:yMode val="edge"/>
              <c:x val="0.17131474103585656"/>
              <c:y val="0.40455859452108878"/>
            </c:manualLayout>
          </c:layout>
        </c:title>
        <c:numFmt formatCode="0.0" sourceLinked="1"/>
        <c:tickLblPos val="nextTo"/>
        <c:txPr>
          <a:bodyPr rot="-5400000" vert="horz"/>
          <a:lstStyle/>
          <a:p>
            <a:pPr>
              <a:defRPr b="1"/>
            </a:pPr>
            <a:endParaRPr lang="en-US"/>
          </a:p>
        </c:txPr>
        <c:crossAx val="114708480"/>
        <c:crosses val="autoZero"/>
        <c:crossBetween val="between"/>
      </c:valAx>
    </c:plotArea>
    <c:plotVisOnly val="1"/>
    <c:dispBlanksAs val="gap"/>
  </c:chart>
  <c:txPr>
    <a:bodyPr/>
    <a:lstStyle/>
    <a:p>
      <a:pPr>
        <a:defRPr sz="8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manualLayout>
          <c:layoutTarget val="inner"/>
          <c:xMode val="edge"/>
          <c:yMode val="edge"/>
          <c:x val="3.1928882452911776E-2"/>
          <c:y val="4.4666934881315137E-2"/>
          <c:w val="0.91060266891925856"/>
          <c:h val="0.86293771672701491"/>
        </c:manualLayout>
      </c:layout>
      <c:barChart>
        <c:barDir val="bar"/>
        <c:grouping val="clustered"/>
        <c:ser>
          <c:idx val="0"/>
          <c:order val="0"/>
          <c:val>
            <c:numRef>
              <c:f>Sheet1!$E$3</c:f>
              <c:numCache>
                <c:formatCode>0.0</c:formatCode>
                <c:ptCount val="1"/>
                <c:pt idx="0">
                  <c:v>8.802217806703398</c:v>
                </c:pt>
              </c:numCache>
            </c:numRef>
          </c:val>
        </c:ser>
        <c:ser>
          <c:idx val="1"/>
          <c:order val="1"/>
          <c:val>
            <c:numRef>
              <c:f>Sheet1!$E$4</c:f>
              <c:numCache>
                <c:formatCode>0.0</c:formatCode>
                <c:ptCount val="1"/>
                <c:pt idx="0">
                  <c:v>8.5380798838744933</c:v>
                </c:pt>
              </c:numCache>
            </c:numRef>
          </c:val>
        </c:ser>
        <c:ser>
          <c:idx val="2"/>
          <c:order val="2"/>
          <c:val>
            <c:numRef>
              <c:f>Sheet1!$E$5</c:f>
              <c:numCache>
                <c:formatCode>0.0</c:formatCode>
                <c:ptCount val="1"/>
                <c:pt idx="0">
                  <c:v>6.1501302842457157</c:v>
                </c:pt>
              </c:numCache>
            </c:numRef>
          </c:val>
        </c:ser>
        <c:ser>
          <c:idx val="3"/>
          <c:order val="3"/>
          <c:trendline>
            <c:trendlineType val="linear"/>
          </c:trendline>
          <c:val>
            <c:numRef>
              <c:f>Sheet1!$E$6</c:f>
              <c:numCache>
                <c:formatCode>0.0</c:formatCode>
                <c:ptCount val="1"/>
                <c:pt idx="0">
                  <c:v>5.0590740894975426</c:v>
                </c:pt>
              </c:numCache>
            </c:numRef>
          </c:val>
        </c:ser>
        <c:ser>
          <c:idx val="4"/>
          <c:order val="4"/>
          <c:val>
            <c:numRef>
              <c:f>Sheet1!$E$7</c:f>
              <c:numCache>
                <c:formatCode>0.0</c:formatCode>
                <c:ptCount val="1"/>
                <c:pt idx="0">
                  <c:v>4.3630349685295071</c:v>
                </c:pt>
              </c:numCache>
            </c:numRef>
          </c:val>
        </c:ser>
        <c:ser>
          <c:idx val="5"/>
          <c:order val="5"/>
          <c:val>
            <c:numRef>
              <c:f>Sheet1!$E$8</c:f>
              <c:numCache>
                <c:formatCode>0.0</c:formatCode>
                <c:ptCount val="1"/>
                <c:pt idx="0">
                  <c:v>4.0881887515318809</c:v>
                </c:pt>
              </c:numCache>
            </c:numRef>
          </c:val>
        </c:ser>
        <c:ser>
          <c:idx val="6"/>
          <c:order val="6"/>
          <c:val>
            <c:numRef>
              <c:f>Sheet1!$E$9</c:f>
              <c:numCache>
                <c:formatCode>0.0</c:formatCode>
                <c:ptCount val="1"/>
                <c:pt idx="0">
                  <c:v>3.0185491451211823</c:v>
                </c:pt>
              </c:numCache>
            </c:numRef>
          </c:val>
        </c:ser>
        <c:ser>
          <c:idx val="7"/>
          <c:order val="7"/>
          <c:val>
            <c:numRef>
              <c:f>Sheet1!$E$10</c:f>
              <c:numCache>
                <c:formatCode>0.0</c:formatCode>
                <c:ptCount val="1"/>
                <c:pt idx="0">
                  <c:v>2.4950325413161685</c:v>
                </c:pt>
              </c:numCache>
            </c:numRef>
          </c:val>
        </c:ser>
        <c:ser>
          <c:idx val="8"/>
          <c:order val="8"/>
          <c:val>
            <c:numRef>
              <c:f>Sheet1!$E$11</c:f>
              <c:numCache>
                <c:formatCode>0.0</c:formatCode>
                <c:ptCount val="1"/>
                <c:pt idx="0">
                  <c:v>1.8215998191488096</c:v>
                </c:pt>
              </c:numCache>
            </c:numRef>
          </c:val>
        </c:ser>
        <c:ser>
          <c:idx val="9"/>
          <c:order val="9"/>
          <c:val>
            <c:numRef>
              <c:f>Sheet1!$E$12</c:f>
              <c:numCache>
                <c:formatCode>0.0</c:formatCode>
                <c:ptCount val="1"/>
                <c:pt idx="0">
                  <c:v>1.2623889014479999</c:v>
                </c:pt>
              </c:numCache>
            </c:numRef>
          </c:val>
        </c:ser>
        <c:ser>
          <c:idx val="10"/>
          <c:order val="10"/>
          <c:val>
            <c:numRef>
              <c:f>Sheet1!$E$13</c:f>
              <c:numCache>
                <c:formatCode>0.0</c:formatCode>
                <c:ptCount val="1"/>
                <c:pt idx="0">
                  <c:v>1.171963306245315</c:v>
                </c:pt>
              </c:numCache>
            </c:numRef>
          </c:val>
        </c:ser>
        <c:ser>
          <c:idx val="11"/>
          <c:order val="11"/>
          <c:val>
            <c:numRef>
              <c:f>Sheet1!$E$14</c:f>
              <c:numCache>
                <c:formatCode>0.0</c:formatCode>
                <c:ptCount val="1"/>
                <c:pt idx="0">
                  <c:v>0.51875736195224031</c:v>
                </c:pt>
              </c:numCache>
            </c:numRef>
          </c:val>
        </c:ser>
        <c:ser>
          <c:idx val="12"/>
          <c:order val="12"/>
          <c:val>
            <c:numRef>
              <c:f>Sheet1!$E$15</c:f>
              <c:numCache>
                <c:formatCode>0.0</c:formatCode>
                <c:ptCount val="1"/>
                <c:pt idx="0">
                  <c:v>0.83881637655121544</c:v>
                </c:pt>
              </c:numCache>
            </c:numRef>
          </c:val>
        </c:ser>
        <c:ser>
          <c:idx val="13"/>
          <c:order val="13"/>
          <c:val>
            <c:numRef>
              <c:f>Sheet1!$E$16</c:f>
              <c:numCache>
                <c:formatCode>0.0</c:formatCode>
                <c:ptCount val="1"/>
                <c:pt idx="0">
                  <c:v>0.42476233535997743</c:v>
                </c:pt>
              </c:numCache>
            </c:numRef>
          </c:val>
        </c:ser>
        <c:ser>
          <c:idx val="14"/>
          <c:order val="14"/>
          <c:val>
            <c:numRef>
              <c:f>Sheet1!$E$17</c:f>
              <c:numCache>
                <c:formatCode>0.0</c:formatCode>
                <c:ptCount val="1"/>
                <c:pt idx="0">
                  <c:v>0.31529977274620152</c:v>
                </c:pt>
              </c:numCache>
            </c:numRef>
          </c:val>
        </c:ser>
        <c:ser>
          <c:idx val="15"/>
          <c:order val="15"/>
          <c:val>
            <c:numRef>
              <c:f>Sheet1!$E$18</c:f>
              <c:numCache>
                <c:formatCode>0.0</c:formatCode>
                <c:ptCount val="1"/>
                <c:pt idx="0">
                  <c:v>0.45926683879258035</c:v>
                </c:pt>
              </c:numCache>
            </c:numRef>
          </c:val>
        </c:ser>
        <c:ser>
          <c:idx val="16"/>
          <c:order val="16"/>
          <c:val>
            <c:numRef>
              <c:f>Sheet1!$E$19</c:f>
              <c:numCache>
                <c:formatCode>General</c:formatCode>
                <c:ptCount val="1"/>
                <c:pt idx="0">
                  <c:v>0</c:v>
                </c:pt>
              </c:numCache>
            </c:numRef>
          </c:val>
        </c:ser>
        <c:axId val="115276416"/>
        <c:axId val="120013568"/>
      </c:barChart>
      <c:catAx>
        <c:axId val="115276416"/>
        <c:scaling>
          <c:orientation val="minMax"/>
        </c:scaling>
        <c:delete val="1"/>
        <c:axPos val="l"/>
        <c:title>
          <c:tx>
            <c:rich>
              <a:bodyPr/>
              <a:lstStyle/>
              <a:p>
                <a:pPr>
                  <a:defRPr/>
                </a:pPr>
                <a:r>
                  <a:rPr lang="en-US"/>
                  <a:t> </a:t>
                </a:r>
              </a:p>
            </c:rich>
          </c:tx>
          <c:layout>
            <c:manualLayout>
              <c:xMode val="edge"/>
              <c:yMode val="edge"/>
              <c:x val="1.9157088122605363E-2"/>
              <c:y val="0.52554872246808626"/>
            </c:manualLayout>
          </c:layout>
        </c:title>
        <c:tickLblPos val="none"/>
        <c:crossAx val="120013568"/>
        <c:crosses val="autoZero"/>
        <c:auto val="1"/>
        <c:lblAlgn val="ctr"/>
        <c:lblOffset val="100"/>
      </c:catAx>
      <c:valAx>
        <c:axId val="120013568"/>
        <c:scaling>
          <c:orientation val="minMax"/>
        </c:scaling>
        <c:axPos val="b"/>
        <c:majorGridlines/>
        <c:title>
          <c:tx>
            <c:rich>
              <a:bodyPr/>
              <a:lstStyle/>
              <a:p>
                <a:pPr>
                  <a:defRPr/>
                </a:pPr>
                <a:r>
                  <a:rPr lang="en-US"/>
                  <a:t>Percentage (females)</a:t>
                </a:r>
              </a:p>
            </c:rich>
          </c:tx>
          <c:layout>
            <c:manualLayout>
              <c:xMode val="edge"/>
              <c:yMode val="edge"/>
              <c:x val="0.30779135366699822"/>
              <c:y val="0.3908676743874176"/>
            </c:manualLayout>
          </c:layout>
        </c:title>
        <c:numFmt formatCode="0.0" sourceLinked="1"/>
        <c:tickLblPos val="nextTo"/>
        <c:txPr>
          <a:bodyPr rot="-5400000" vert="horz"/>
          <a:lstStyle/>
          <a:p>
            <a:pPr>
              <a:defRPr b="1"/>
            </a:pPr>
            <a:endParaRPr lang="en-US"/>
          </a:p>
        </c:txPr>
        <c:crossAx val="115276416"/>
        <c:crosses val="autoZero"/>
        <c:crossBetween val="between"/>
      </c:valAx>
    </c:plotArea>
    <c:plotVisOnly val="1"/>
    <c:dispBlanksAs val="gap"/>
  </c:chart>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manualLayout>
          <c:layoutTarget val="inner"/>
          <c:xMode val="edge"/>
          <c:yMode val="edge"/>
          <c:x val="4.7808764940239133E-2"/>
          <c:y val="1.6187568390685872E-2"/>
          <c:w val="0.91899070385126158"/>
          <c:h val="0.88933862858979362"/>
        </c:manualLayout>
      </c:layout>
      <c:barChart>
        <c:barDir val="bar"/>
        <c:grouping val="clustered"/>
        <c:ser>
          <c:idx val="0"/>
          <c:order val="0"/>
          <c:val>
            <c:numRef>
              <c:f>Sheet1!$D$3</c:f>
              <c:numCache>
                <c:formatCode>0.0</c:formatCode>
                <c:ptCount val="1"/>
                <c:pt idx="0">
                  <c:v>4.6098523487166805</c:v>
                </c:pt>
              </c:numCache>
            </c:numRef>
          </c:val>
        </c:ser>
        <c:ser>
          <c:idx val="1"/>
          <c:order val="1"/>
          <c:val>
            <c:numRef>
              <c:f>Sheet1!$D$4</c:f>
              <c:numCache>
                <c:formatCode>0.0</c:formatCode>
                <c:ptCount val="1"/>
                <c:pt idx="0">
                  <c:v>5.1095793020308493</c:v>
                </c:pt>
              </c:numCache>
            </c:numRef>
          </c:val>
        </c:ser>
        <c:ser>
          <c:idx val="2"/>
          <c:order val="2"/>
          <c:val>
            <c:numRef>
              <c:f>Sheet1!$D$5</c:f>
              <c:numCache>
                <c:formatCode>0.0</c:formatCode>
                <c:ptCount val="1"/>
                <c:pt idx="0">
                  <c:v>4.995208803437297</c:v>
                </c:pt>
              </c:numCache>
            </c:numRef>
          </c:val>
        </c:ser>
        <c:ser>
          <c:idx val="3"/>
          <c:order val="3"/>
          <c:val>
            <c:numRef>
              <c:f>Sheet1!$D$6</c:f>
              <c:numCache>
                <c:formatCode>0.0</c:formatCode>
                <c:ptCount val="1"/>
                <c:pt idx="0">
                  <c:v>6.498511122788579</c:v>
                </c:pt>
              </c:numCache>
            </c:numRef>
          </c:val>
        </c:ser>
        <c:ser>
          <c:idx val="4"/>
          <c:order val="4"/>
          <c:val>
            <c:numRef>
              <c:f>Sheet1!$D$7</c:f>
              <c:numCache>
                <c:formatCode>0.0</c:formatCode>
                <c:ptCount val="1"/>
                <c:pt idx="0">
                  <c:v>6.0070270882919639</c:v>
                </c:pt>
              </c:numCache>
            </c:numRef>
          </c:val>
        </c:ser>
        <c:ser>
          <c:idx val="5"/>
          <c:order val="5"/>
          <c:val>
            <c:numRef>
              <c:f>Sheet1!$D$8</c:f>
              <c:numCache>
                <c:formatCode>0.0</c:formatCode>
                <c:ptCount val="1"/>
                <c:pt idx="0">
                  <c:v>5.8689581980979435</c:v>
                </c:pt>
              </c:numCache>
            </c:numRef>
          </c:val>
        </c:ser>
        <c:ser>
          <c:idx val="6"/>
          <c:order val="6"/>
          <c:val>
            <c:numRef>
              <c:f>Sheet1!$D$9</c:f>
              <c:numCache>
                <c:formatCode>0.0</c:formatCode>
                <c:ptCount val="1"/>
                <c:pt idx="0">
                  <c:v>4.6520973076566383</c:v>
                </c:pt>
              </c:numCache>
            </c:numRef>
          </c:val>
        </c:ser>
        <c:ser>
          <c:idx val="7"/>
          <c:order val="7"/>
          <c:val>
            <c:numRef>
              <c:f>Sheet1!$D$10</c:f>
              <c:numCache>
                <c:formatCode>0.0</c:formatCode>
                <c:ptCount val="1"/>
                <c:pt idx="0">
                  <c:v>3.6907669005594883</c:v>
                </c:pt>
              </c:numCache>
            </c:numRef>
          </c:val>
        </c:ser>
        <c:ser>
          <c:idx val="8"/>
          <c:order val="8"/>
          <c:val>
            <c:numRef>
              <c:f>Sheet1!$D$11</c:f>
              <c:numCache>
                <c:formatCode>0.0</c:formatCode>
                <c:ptCount val="1"/>
                <c:pt idx="0">
                  <c:v>2.8489588163168578</c:v>
                </c:pt>
              </c:numCache>
            </c:numRef>
          </c:val>
        </c:ser>
        <c:ser>
          <c:idx val="9"/>
          <c:order val="9"/>
          <c:val>
            <c:numRef>
              <c:f>Sheet1!$D$12</c:f>
              <c:numCache>
                <c:formatCode>0.0</c:formatCode>
                <c:ptCount val="1"/>
                <c:pt idx="0">
                  <c:v>1.966966502838656</c:v>
                </c:pt>
              </c:numCache>
            </c:numRef>
          </c:val>
        </c:ser>
        <c:ser>
          <c:idx val="10"/>
          <c:order val="10"/>
          <c:val>
            <c:numRef>
              <c:f>Sheet1!$D$13</c:f>
              <c:numCache>
                <c:formatCode>0.0</c:formatCode>
                <c:ptCount val="1"/>
                <c:pt idx="0">
                  <c:v>1.5146363327254178</c:v>
                </c:pt>
              </c:numCache>
            </c:numRef>
          </c:val>
        </c:ser>
        <c:ser>
          <c:idx val="11"/>
          <c:order val="11"/>
          <c:val>
            <c:numRef>
              <c:f>Sheet1!$D$14</c:f>
              <c:numCache>
                <c:formatCode>0.0</c:formatCode>
                <c:ptCount val="1"/>
                <c:pt idx="0">
                  <c:v>0.77071290944123316</c:v>
                </c:pt>
              </c:numCache>
            </c:numRef>
          </c:val>
        </c:ser>
        <c:ser>
          <c:idx val="12"/>
          <c:order val="12"/>
          <c:val>
            <c:numRef>
              <c:f>Sheet1!$D$15</c:f>
              <c:numCache>
                <c:formatCode>0.0</c:formatCode>
                <c:ptCount val="1"/>
                <c:pt idx="0">
                  <c:v>0.91084252933963916</c:v>
                </c:pt>
              </c:numCache>
            </c:numRef>
          </c:val>
        </c:ser>
        <c:ser>
          <c:idx val="13"/>
          <c:order val="13"/>
          <c:val>
            <c:numRef>
              <c:f>Sheet1!$D$16</c:f>
              <c:numCache>
                <c:formatCode>0.0</c:formatCode>
                <c:ptCount val="1"/>
                <c:pt idx="0">
                  <c:v>0.56979176326337222</c:v>
                </c:pt>
              </c:numCache>
            </c:numRef>
          </c:val>
        </c:ser>
        <c:ser>
          <c:idx val="14"/>
          <c:order val="14"/>
          <c:val>
            <c:numRef>
              <c:f>Sheet1!$D$17</c:f>
              <c:numCache>
                <c:formatCode>0.0</c:formatCode>
                <c:ptCount val="1"/>
                <c:pt idx="0">
                  <c:v>0.5739132226721485</c:v>
                </c:pt>
              </c:numCache>
            </c:numRef>
          </c:val>
        </c:ser>
        <c:ser>
          <c:idx val="15"/>
          <c:order val="15"/>
          <c:val>
            <c:numRef>
              <c:f>Sheet1!$D$18</c:f>
              <c:numCache>
                <c:formatCode>0.0</c:formatCode>
                <c:ptCount val="1"/>
                <c:pt idx="0">
                  <c:v>0.6697371539262057</c:v>
                </c:pt>
              </c:numCache>
            </c:numRef>
          </c:val>
        </c:ser>
        <c:ser>
          <c:idx val="16"/>
          <c:order val="16"/>
          <c:val>
            <c:numRef>
              <c:f>Sheet1!$D$19</c:f>
              <c:numCache>
                <c:formatCode>General</c:formatCode>
                <c:ptCount val="1"/>
                <c:pt idx="0">
                  <c:v>0</c:v>
                </c:pt>
              </c:numCache>
            </c:numRef>
          </c:val>
        </c:ser>
        <c:axId val="73191424"/>
        <c:axId val="73193344"/>
      </c:barChart>
      <c:catAx>
        <c:axId val="73191424"/>
        <c:scaling>
          <c:orientation val="minMax"/>
        </c:scaling>
        <c:delete val="1"/>
        <c:axPos val="r"/>
        <c:title>
          <c:tx>
            <c:rich>
              <a:bodyPr/>
              <a:lstStyle/>
              <a:p>
                <a:pPr>
                  <a:defRPr/>
                </a:pPr>
                <a:r>
                  <a:rPr lang="en-US"/>
                  <a:t> </a:t>
                </a:r>
              </a:p>
            </c:rich>
          </c:tx>
          <c:layout>
            <c:manualLayout>
              <c:xMode val="edge"/>
              <c:yMode val="edge"/>
              <c:x val="0.90039840637450308"/>
              <c:y val="0.52696207091760505"/>
            </c:manualLayout>
          </c:layout>
        </c:title>
        <c:tickLblPos val="none"/>
        <c:crossAx val="73193344"/>
        <c:crosses val="autoZero"/>
        <c:auto val="1"/>
        <c:lblAlgn val="ctr"/>
        <c:lblOffset val="100"/>
      </c:catAx>
      <c:valAx>
        <c:axId val="73193344"/>
        <c:scaling>
          <c:orientation val="maxMin"/>
        </c:scaling>
        <c:axPos val="b"/>
        <c:majorGridlines/>
        <c:title>
          <c:tx>
            <c:rich>
              <a:bodyPr/>
              <a:lstStyle/>
              <a:p>
                <a:pPr>
                  <a:defRPr/>
                </a:pPr>
                <a:r>
                  <a:rPr lang="en-US"/>
                  <a:t>Percentage (males)</a:t>
                </a:r>
              </a:p>
            </c:rich>
          </c:tx>
          <c:layout>
            <c:manualLayout>
              <c:xMode val="edge"/>
              <c:yMode val="edge"/>
              <c:x val="0.33643353404353865"/>
              <c:y val="0.37346035827154284"/>
            </c:manualLayout>
          </c:layout>
        </c:title>
        <c:numFmt formatCode="0.0" sourceLinked="1"/>
        <c:tickLblPos val="nextTo"/>
        <c:txPr>
          <a:bodyPr rot="-5400000" vert="horz"/>
          <a:lstStyle/>
          <a:p>
            <a:pPr>
              <a:defRPr b="1"/>
            </a:pPr>
            <a:endParaRPr lang="en-US"/>
          </a:p>
        </c:txPr>
        <c:crossAx val="73191424"/>
        <c:crosses val="autoZero"/>
        <c:crossBetween val="between"/>
      </c:valAx>
    </c:plotArea>
    <c:plotVisOnly val="1"/>
    <c:dispBlanksAs val="gap"/>
  </c:chart>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manualLayout>
          <c:layoutTarget val="inner"/>
          <c:xMode val="edge"/>
          <c:yMode val="edge"/>
          <c:x val="3.1928882452911776E-2"/>
          <c:y val="2.9515330470054904E-2"/>
          <c:w val="0.91060266891925856"/>
          <c:h val="0.87808935814841382"/>
        </c:manualLayout>
      </c:layout>
      <c:barChart>
        <c:barDir val="bar"/>
        <c:grouping val="clustered"/>
        <c:ser>
          <c:idx val="0"/>
          <c:order val="0"/>
          <c:val>
            <c:numRef>
              <c:f>Sheet1!$E$3</c:f>
              <c:numCache>
                <c:formatCode>0.0</c:formatCode>
                <c:ptCount val="1"/>
                <c:pt idx="0">
                  <c:v>4.56760738977672</c:v>
                </c:pt>
              </c:numCache>
            </c:numRef>
          </c:val>
        </c:ser>
        <c:ser>
          <c:idx val="1"/>
          <c:order val="1"/>
          <c:val>
            <c:numRef>
              <c:f>Sheet1!$E$4</c:f>
              <c:numCache>
                <c:formatCode>0.0</c:formatCode>
                <c:ptCount val="1"/>
                <c:pt idx="0">
                  <c:v>5.0199375598899518</c:v>
                </c:pt>
              </c:numCache>
            </c:numRef>
          </c:val>
        </c:ser>
        <c:ser>
          <c:idx val="2"/>
          <c:order val="2"/>
          <c:val>
            <c:numRef>
              <c:f>Sheet1!$E$5</c:f>
              <c:numCache>
                <c:formatCode>0.0</c:formatCode>
                <c:ptCount val="1"/>
                <c:pt idx="0">
                  <c:v>4.871565021173998</c:v>
                </c:pt>
              </c:numCache>
            </c:numRef>
          </c:val>
        </c:ser>
        <c:ser>
          <c:idx val="3"/>
          <c:order val="3"/>
          <c:trendline>
            <c:trendlineType val="linear"/>
          </c:trendline>
          <c:val>
            <c:numRef>
              <c:f>Sheet1!$E$6</c:f>
              <c:numCache>
                <c:formatCode>0.0</c:formatCode>
                <c:ptCount val="1"/>
                <c:pt idx="0">
                  <c:v>5.9297497243774044</c:v>
                </c:pt>
              </c:numCache>
            </c:numRef>
          </c:val>
        </c:ser>
        <c:ser>
          <c:idx val="4"/>
          <c:order val="4"/>
          <c:val>
            <c:numRef>
              <c:f>Sheet1!$E$7</c:f>
              <c:numCache>
                <c:formatCode>0.0</c:formatCode>
                <c:ptCount val="1"/>
                <c:pt idx="0">
                  <c:v>5.2816502323472774</c:v>
                </c:pt>
              </c:numCache>
            </c:numRef>
          </c:val>
        </c:ser>
        <c:ser>
          <c:idx val="5"/>
          <c:order val="5"/>
          <c:val>
            <c:numRef>
              <c:f>Sheet1!$E$8</c:f>
              <c:numCache>
                <c:formatCode>0.0</c:formatCode>
                <c:ptCount val="1"/>
                <c:pt idx="0">
                  <c:v>5.5371807156914263</c:v>
                </c:pt>
              </c:numCache>
            </c:numRef>
          </c:val>
        </c:ser>
        <c:ser>
          <c:idx val="6"/>
          <c:order val="6"/>
          <c:val>
            <c:numRef>
              <c:f>Sheet1!$E$9</c:f>
              <c:numCache>
                <c:formatCode>0.0</c:formatCode>
                <c:ptCount val="1"/>
                <c:pt idx="0">
                  <c:v>4.4903300258621606</c:v>
                </c:pt>
              </c:numCache>
            </c:numRef>
          </c:val>
        </c:ser>
        <c:ser>
          <c:idx val="7"/>
          <c:order val="7"/>
          <c:val>
            <c:numRef>
              <c:f>Sheet1!$E$10</c:f>
              <c:numCache>
                <c:formatCode>0.0</c:formatCode>
                <c:ptCount val="1"/>
                <c:pt idx="0">
                  <c:v>3.5444550915479183</c:v>
                </c:pt>
              </c:numCache>
            </c:numRef>
          </c:val>
        </c:ser>
        <c:ser>
          <c:idx val="8"/>
          <c:order val="8"/>
          <c:val>
            <c:numRef>
              <c:f>Sheet1!$E$11</c:f>
              <c:numCache>
                <c:formatCode>0.0</c:formatCode>
                <c:ptCount val="1"/>
                <c:pt idx="0">
                  <c:v>2.7294364934623352</c:v>
                </c:pt>
              </c:numCache>
            </c:numRef>
          </c:val>
        </c:ser>
        <c:ser>
          <c:idx val="9"/>
          <c:order val="9"/>
          <c:val>
            <c:numRef>
              <c:f>Sheet1!$E$12</c:f>
              <c:numCache>
                <c:formatCode>0.0</c:formatCode>
                <c:ptCount val="1"/>
                <c:pt idx="0">
                  <c:v>1.9236911790465012</c:v>
                </c:pt>
              </c:numCache>
            </c:numRef>
          </c:val>
        </c:ser>
        <c:ser>
          <c:idx val="10"/>
          <c:order val="10"/>
          <c:val>
            <c:numRef>
              <c:f>Sheet1!$E$13</c:f>
              <c:numCache>
                <c:formatCode>0.0</c:formatCode>
                <c:ptCount val="1"/>
                <c:pt idx="0">
                  <c:v>1.4662091846722924</c:v>
                </c:pt>
              </c:numCache>
            </c:numRef>
          </c:val>
        </c:ser>
        <c:ser>
          <c:idx val="11"/>
          <c:order val="11"/>
          <c:val>
            <c:numRef>
              <c:f>Sheet1!$E$14</c:f>
              <c:numCache>
                <c:formatCode>0.0</c:formatCode>
                <c:ptCount val="1"/>
                <c:pt idx="0">
                  <c:v>0.75834853121490353</c:v>
                </c:pt>
              </c:numCache>
            </c:numRef>
          </c:val>
        </c:ser>
        <c:ser>
          <c:idx val="12"/>
          <c:order val="12"/>
          <c:val>
            <c:numRef>
              <c:f>Sheet1!$E$15</c:f>
              <c:numCache>
                <c:formatCode>0.0</c:formatCode>
                <c:ptCount val="1"/>
                <c:pt idx="0">
                  <c:v>0.87993158377381464</c:v>
                </c:pt>
              </c:numCache>
            </c:numRef>
          </c:val>
        </c:ser>
        <c:ser>
          <c:idx val="13"/>
          <c:order val="13"/>
          <c:val>
            <c:numRef>
              <c:f>Sheet1!$E$16</c:f>
              <c:numCache>
                <c:formatCode>0.0</c:formatCode>
                <c:ptCount val="1"/>
                <c:pt idx="0">
                  <c:v>0.53578972314096418</c:v>
                </c:pt>
              </c:numCache>
            </c:numRef>
          </c:val>
        </c:ser>
        <c:ser>
          <c:idx val="14"/>
          <c:order val="14"/>
          <c:val>
            <c:numRef>
              <c:f>Sheet1!$E$17</c:f>
              <c:numCache>
                <c:formatCode>0.0</c:formatCode>
                <c:ptCount val="1"/>
                <c:pt idx="0">
                  <c:v>0.55742738503704126</c:v>
                </c:pt>
              </c:numCache>
            </c:numRef>
          </c:val>
        </c:ser>
        <c:ser>
          <c:idx val="15"/>
          <c:order val="15"/>
          <c:val>
            <c:numRef>
              <c:f>Sheet1!$E$18</c:f>
              <c:numCache>
                <c:formatCode>0.0</c:formatCode>
                <c:ptCount val="1"/>
                <c:pt idx="0">
                  <c:v>0.64912985688232261</c:v>
                </c:pt>
              </c:numCache>
            </c:numRef>
          </c:val>
        </c:ser>
        <c:ser>
          <c:idx val="16"/>
          <c:order val="16"/>
          <c:val>
            <c:numRef>
              <c:f>Sheet1!$E$19</c:f>
              <c:numCache>
                <c:formatCode>General</c:formatCode>
                <c:ptCount val="1"/>
                <c:pt idx="0">
                  <c:v>0</c:v>
                </c:pt>
              </c:numCache>
            </c:numRef>
          </c:val>
        </c:ser>
        <c:axId val="74283648"/>
        <c:axId val="74339072"/>
      </c:barChart>
      <c:catAx>
        <c:axId val="74283648"/>
        <c:scaling>
          <c:orientation val="minMax"/>
        </c:scaling>
        <c:delete val="1"/>
        <c:axPos val="l"/>
        <c:title>
          <c:tx>
            <c:rich>
              <a:bodyPr/>
              <a:lstStyle/>
              <a:p>
                <a:pPr>
                  <a:defRPr/>
                </a:pPr>
                <a:r>
                  <a:rPr lang="en-US"/>
                  <a:t> </a:t>
                </a:r>
              </a:p>
            </c:rich>
          </c:tx>
          <c:layout>
            <c:manualLayout>
              <c:xMode val="edge"/>
              <c:yMode val="edge"/>
              <c:x val="1.9157088122605363E-2"/>
              <c:y val="0.52554872246808648"/>
            </c:manualLayout>
          </c:layout>
        </c:title>
        <c:tickLblPos val="none"/>
        <c:crossAx val="74339072"/>
        <c:crosses val="autoZero"/>
        <c:auto val="1"/>
        <c:lblAlgn val="ctr"/>
        <c:lblOffset val="100"/>
      </c:catAx>
      <c:valAx>
        <c:axId val="74339072"/>
        <c:scaling>
          <c:orientation val="minMax"/>
        </c:scaling>
        <c:axPos val="b"/>
        <c:majorGridlines/>
        <c:title>
          <c:tx>
            <c:rich>
              <a:bodyPr/>
              <a:lstStyle/>
              <a:p>
                <a:pPr>
                  <a:defRPr/>
                </a:pPr>
                <a:r>
                  <a:rPr lang="en-US"/>
                  <a:t>Percentage (females)</a:t>
                </a:r>
              </a:p>
            </c:rich>
          </c:tx>
          <c:layout>
            <c:manualLayout>
              <c:xMode val="edge"/>
              <c:yMode val="edge"/>
              <c:x val="0.30779135366699817"/>
              <c:y val="0.39086767438741776"/>
            </c:manualLayout>
          </c:layout>
        </c:title>
        <c:numFmt formatCode="0.0" sourceLinked="1"/>
        <c:tickLblPos val="nextTo"/>
        <c:txPr>
          <a:bodyPr rot="-5400000" vert="horz"/>
          <a:lstStyle/>
          <a:p>
            <a:pPr>
              <a:defRPr b="1"/>
            </a:pPr>
            <a:endParaRPr lang="en-US"/>
          </a:p>
        </c:txPr>
        <c:crossAx val="74283648"/>
        <c:crosses val="autoZero"/>
        <c:crossBetween val="between"/>
      </c:valAx>
    </c:plotArea>
    <c:plotVisOnly val="1"/>
    <c:dispBlanksAs val="gap"/>
  </c:chart>
  <c:txPr>
    <a:bodyPr/>
    <a:lstStyle/>
    <a:p>
      <a:pPr>
        <a:defRPr sz="8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Fig. 6   Harari</a:t>
            </a:r>
            <a:r>
              <a:rPr lang="en-US" sz="1200" baseline="0"/>
              <a:t> Region - Ethnic Distribution</a:t>
            </a:r>
            <a:endParaRPr lang="en-US" sz="1200"/>
          </a:p>
        </c:rich>
      </c:tx>
    </c:title>
    <c:plotArea>
      <c:layout/>
      <c:barChart>
        <c:barDir val="col"/>
        <c:grouping val="clustered"/>
        <c:ser>
          <c:idx val="0"/>
          <c:order val="0"/>
          <c:tx>
            <c:v>1984</c:v>
          </c:tx>
          <c:cat>
            <c:strRef>
              <c:f>Sheet1!$G$2:$G$7</c:f>
              <c:strCache>
                <c:ptCount val="6"/>
                <c:pt idx="0">
                  <c:v>Oromo</c:v>
                </c:pt>
                <c:pt idx="1">
                  <c:v>Amhara</c:v>
                </c:pt>
                <c:pt idx="2">
                  <c:v>Harari</c:v>
                </c:pt>
                <c:pt idx="3">
                  <c:v>Guragie</c:v>
                </c:pt>
                <c:pt idx="4">
                  <c:v>Somalie</c:v>
                </c:pt>
                <c:pt idx="5">
                  <c:v>Tigray</c:v>
                </c:pt>
              </c:strCache>
            </c:strRef>
          </c:cat>
          <c:val>
            <c:numRef>
              <c:f>Sheet1!$H$2:$H$7</c:f>
              <c:numCache>
                <c:formatCode>General</c:formatCode>
                <c:ptCount val="6"/>
                <c:pt idx="0" formatCode="#,##0">
                  <c:v>11037</c:v>
                </c:pt>
                <c:pt idx="1">
                  <c:v>37146</c:v>
                </c:pt>
                <c:pt idx="2">
                  <c:v>7947</c:v>
                </c:pt>
                <c:pt idx="3">
                  <c:v>2450</c:v>
                </c:pt>
                <c:pt idx="4">
                  <c:v>288</c:v>
                </c:pt>
                <c:pt idx="5">
                  <c:v>2018</c:v>
                </c:pt>
              </c:numCache>
            </c:numRef>
          </c:val>
        </c:ser>
        <c:ser>
          <c:idx val="1"/>
          <c:order val="1"/>
          <c:tx>
            <c:v>1994</c:v>
          </c:tx>
          <c:cat>
            <c:strRef>
              <c:f>Sheet1!$G$2:$G$7</c:f>
              <c:strCache>
                <c:ptCount val="6"/>
                <c:pt idx="0">
                  <c:v>Oromo</c:v>
                </c:pt>
                <c:pt idx="1">
                  <c:v>Amhara</c:v>
                </c:pt>
                <c:pt idx="2">
                  <c:v>Harari</c:v>
                </c:pt>
                <c:pt idx="3">
                  <c:v>Guragie</c:v>
                </c:pt>
                <c:pt idx="4">
                  <c:v>Somalie</c:v>
                </c:pt>
                <c:pt idx="5">
                  <c:v>Tigray</c:v>
                </c:pt>
              </c:strCache>
            </c:strRef>
          </c:cat>
          <c:val>
            <c:numRef>
              <c:f>Sheet1!$I$2:$I$7</c:f>
              <c:numCache>
                <c:formatCode>#,##0</c:formatCode>
                <c:ptCount val="6"/>
                <c:pt idx="0">
                  <c:v>16786</c:v>
                </c:pt>
                <c:pt idx="1">
                  <c:v>42097</c:v>
                </c:pt>
                <c:pt idx="2" formatCode="General">
                  <c:v>9098</c:v>
                </c:pt>
                <c:pt idx="3" formatCode="General">
                  <c:v>4139</c:v>
                </c:pt>
                <c:pt idx="4" formatCode="General">
                  <c:v>1228</c:v>
                </c:pt>
                <c:pt idx="5" formatCode="General">
                  <c:v>2239</c:v>
                </c:pt>
              </c:numCache>
            </c:numRef>
          </c:val>
        </c:ser>
        <c:ser>
          <c:idx val="2"/>
          <c:order val="2"/>
          <c:tx>
            <c:v>2007</c:v>
          </c:tx>
          <c:cat>
            <c:strRef>
              <c:f>Sheet1!$G$2:$G$7</c:f>
              <c:strCache>
                <c:ptCount val="6"/>
                <c:pt idx="0">
                  <c:v>Oromo</c:v>
                </c:pt>
                <c:pt idx="1">
                  <c:v>Amhara</c:v>
                </c:pt>
                <c:pt idx="2">
                  <c:v>Harari</c:v>
                </c:pt>
                <c:pt idx="3">
                  <c:v>Guragie</c:v>
                </c:pt>
                <c:pt idx="4">
                  <c:v>Somalie</c:v>
                </c:pt>
                <c:pt idx="5">
                  <c:v>Tigray</c:v>
                </c:pt>
              </c:strCache>
            </c:strRef>
          </c:cat>
          <c:val>
            <c:numRef>
              <c:f>Sheet1!$J$2:$J$7</c:f>
              <c:numCache>
                <c:formatCode>#,##0</c:formatCode>
                <c:ptCount val="6"/>
                <c:pt idx="0">
                  <c:v>27938</c:v>
                </c:pt>
                <c:pt idx="1">
                  <c:v>40279</c:v>
                </c:pt>
                <c:pt idx="2" formatCode="General">
                  <c:v>11757</c:v>
                </c:pt>
                <c:pt idx="3" formatCode="General">
                  <c:v>7883</c:v>
                </c:pt>
                <c:pt idx="4" formatCode="General">
                  <c:v>6773</c:v>
                </c:pt>
                <c:pt idx="5" formatCode="General">
                  <c:v>2745</c:v>
                </c:pt>
              </c:numCache>
            </c:numRef>
          </c:val>
        </c:ser>
        <c:axId val="74400128"/>
        <c:axId val="74401664"/>
      </c:barChart>
      <c:catAx>
        <c:axId val="74400128"/>
        <c:scaling>
          <c:orientation val="minMax"/>
        </c:scaling>
        <c:axPos val="b"/>
        <c:majorTickMark val="none"/>
        <c:tickLblPos val="nextTo"/>
        <c:crossAx val="74401664"/>
        <c:crosses val="autoZero"/>
        <c:auto val="1"/>
        <c:lblAlgn val="ctr"/>
        <c:lblOffset val="100"/>
      </c:catAx>
      <c:valAx>
        <c:axId val="74401664"/>
        <c:scaling>
          <c:orientation val="minMax"/>
        </c:scaling>
        <c:axPos val="l"/>
        <c:majorGridlines/>
        <c:title>
          <c:tx>
            <c:rich>
              <a:bodyPr/>
              <a:lstStyle/>
              <a:p>
                <a:pPr>
                  <a:defRPr/>
                </a:pPr>
                <a:r>
                  <a:rPr lang="en-US"/>
                  <a:t>Popuation</a:t>
                </a:r>
              </a:p>
            </c:rich>
          </c:tx>
        </c:title>
        <c:numFmt formatCode="#,##0" sourceLinked="1"/>
        <c:majorTickMark val="none"/>
        <c:tickLblPos val="nextTo"/>
        <c:crossAx val="74400128"/>
        <c:crosses val="autoZero"/>
        <c:crossBetween val="between"/>
      </c:valAx>
      <c:dTable>
        <c:showHorzBorder val="1"/>
        <c:showVertBorder val="1"/>
        <c:showOutline val="1"/>
        <c:showKeys val="1"/>
      </c:dTable>
    </c:plotArea>
    <c:plotVisOnly val="1"/>
  </c:chart>
  <c:spPr>
    <a:no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Figure</a:t>
            </a:r>
            <a:r>
              <a:rPr lang="en-US" sz="1100" baseline="0"/>
              <a:t> 7. Percentage od Married Women in Harari (2007 census) by Age Group </a:t>
            </a:r>
            <a:endParaRPr lang="en-US" sz="1100"/>
          </a:p>
        </c:rich>
      </c:tx>
    </c:title>
    <c:plotArea>
      <c:layout/>
      <c:barChart>
        <c:barDir val="col"/>
        <c:grouping val="clustered"/>
        <c:ser>
          <c:idx val="0"/>
          <c:order val="0"/>
          <c:tx>
            <c:v>Urban</c:v>
          </c:tx>
          <c:dLbls>
            <c:showVal val="1"/>
          </c:dLbls>
          <c:cat>
            <c:strRef>
              <c:f>Sheet1!$C$11:$C$17</c:f>
              <c:strCache>
                <c:ptCount val="7"/>
                <c:pt idx="0">
                  <c:v>15-19</c:v>
                </c:pt>
                <c:pt idx="1">
                  <c:v>20-24</c:v>
                </c:pt>
                <c:pt idx="2">
                  <c:v>25-29</c:v>
                </c:pt>
                <c:pt idx="3">
                  <c:v>30-34</c:v>
                </c:pt>
                <c:pt idx="4">
                  <c:v>35-39</c:v>
                </c:pt>
                <c:pt idx="5">
                  <c:v>40-44</c:v>
                </c:pt>
                <c:pt idx="6">
                  <c:v>45-49</c:v>
                </c:pt>
              </c:strCache>
            </c:strRef>
          </c:cat>
          <c:val>
            <c:numRef>
              <c:f>Sheet1!$D$11:$D$17</c:f>
              <c:numCache>
                <c:formatCode>0.0</c:formatCode>
                <c:ptCount val="7"/>
                <c:pt idx="0">
                  <c:v>15.417590539541768</c:v>
                </c:pt>
                <c:pt idx="1">
                  <c:v>46.350726552179644</c:v>
                </c:pt>
                <c:pt idx="2">
                  <c:v>61.091549295774648</c:v>
                </c:pt>
                <c:pt idx="3">
                  <c:v>62.220403709765414</c:v>
                </c:pt>
                <c:pt idx="4">
                  <c:v>67.737870195337123</c:v>
                </c:pt>
                <c:pt idx="5">
                  <c:v>54.157596865476705</c:v>
                </c:pt>
                <c:pt idx="6">
                  <c:v>57.18617343844754</c:v>
                </c:pt>
              </c:numCache>
            </c:numRef>
          </c:val>
        </c:ser>
        <c:ser>
          <c:idx val="1"/>
          <c:order val="1"/>
          <c:tx>
            <c:v>Rural</c:v>
          </c:tx>
          <c:dLbls>
            <c:showVal val="1"/>
          </c:dLbls>
          <c:cat>
            <c:strRef>
              <c:f>Sheet1!$C$11:$C$17</c:f>
              <c:strCache>
                <c:ptCount val="7"/>
                <c:pt idx="0">
                  <c:v>15-19</c:v>
                </c:pt>
                <c:pt idx="1">
                  <c:v>20-24</c:v>
                </c:pt>
                <c:pt idx="2">
                  <c:v>25-29</c:v>
                </c:pt>
                <c:pt idx="3">
                  <c:v>30-34</c:v>
                </c:pt>
                <c:pt idx="4">
                  <c:v>35-39</c:v>
                </c:pt>
                <c:pt idx="5">
                  <c:v>40-44</c:v>
                </c:pt>
                <c:pt idx="6">
                  <c:v>45-49</c:v>
                </c:pt>
              </c:strCache>
            </c:strRef>
          </c:cat>
          <c:val>
            <c:numRef>
              <c:f>Sheet1!$E$11:$E$17</c:f>
              <c:numCache>
                <c:formatCode>0.0</c:formatCode>
                <c:ptCount val="7"/>
                <c:pt idx="0">
                  <c:v>48.87111947318909</c:v>
                </c:pt>
                <c:pt idx="1">
                  <c:v>83.692391600763528</c:v>
                </c:pt>
                <c:pt idx="2">
                  <c:v>91.705471478463238</c:v>
                </c:pt>
                <c:pt idx="3">
                  <c:v>90.855340953882447</c:v>
                </c:pt>
                <c:pt idx="4">
                  <c:v>85.503099666189783</c:v>
                </c:pt>
                <c:pt idx="5">
                  <c:v>70.476812540822948</c:v>
                </c:pt>
                <c:pt idx="6">
                  <c:v>68.237511781338441</c:v>
                </c:pt>
              </c:numCache>
            </c:numRef>
          </c:val>
        </c:ser>
        <c:dLbls>
          <c:showVal val="1"/>
        </c:dLbls>
        <c:overlap val="-25"/>
        <c:axId val="75350784"/>
        <c:axId val="75352320"/>
      </c:barChart>
      <c:catAx>
        <c:axId val="75350784"/>
        <c:scaling>
          <c:orientation val="minMax"/>
        </c:scaling>
        <c:axPos val="b"/>
        <c:majorTickMark val="none"/>
        <c:tickLblPos val="nextTo"/>
        <c:crossAx val="75352320"/>
        <c:crosses val="autoZero"/>
        <c:auto val="1"/>
        <c:lblAlgn val="ctr"/>
        <c:lblOffset val="100"/>
      </c:catAx>
      <c:valAx>
        <c:axId val="75352320"/>
        <c:scaling>
          <c:orientation val="minMax"/>
        </c:scaling>
        <c:delete val="1"/>
        <c:axPos val="l"/>
        <c:numFmt formatCode="0.0" sourceLinked="1"/>
        <c:tickLblPos val="nextTo"/>
        <c:crossAx val="75350784"/>
        <c:crosses val="autoZero"/>
        <c:crossBetween val="between"/>
      </c:val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2004</TotalTime>
  <Pages>6</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141</cp:revision>
  <cp:lastPrinted>2012-12-18T14:10:00Z</cp:lastPrinted>
  <dcterms:created xsi:type="dcterms:W3CDTF">2012-12-05T05:37:00Z</dcterms:created>
  <dcterms:modified xsi:type="dcterms:W3CDTF">2012-12-18T14:30:00Z</dcterms:modified>
</cp:coreProperties>
</file>